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1F51" w14:textId="77777777" w:rsidR="009A6D5D" w:rsidRPr="00805F73" w:rsidRDefault="009A6D5D" w:rsidP="006C2591">
      <w:pPr>
        <w:shd w:val="clear" w:color="auto" w:fill="FFFFFF"/>
        <w:spacing w:before="120" w:after="1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73DE5B" w14:textId="77777777" w:rsidR="00850078" w:rsidRDefault="00850078" w:rsidP="002419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215303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6C1A2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293C4" w14:textId="2DCC00F2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sz w:val="56"/>
          <w:szCs w:val="56"/>
        </w:rPr>
        <w:drawing>
          <wp:inline distT="0" distB="0" distL="0" distR="0" wp14:anchorId="064D0EEC" wp14:editId="5C4EED11">
            <wp:extent cx="2861733" cy="836336"/>
            <wp:effectExtent l="0" t="0" r="0" b="1905"/>
            <wp:docPr id="19" name="Picture 1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1" cy="870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247B2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BBEDD8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F98039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64D7C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CA9B1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8D949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361784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8D1E5F" w14:textId="77777777" w:rsid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A702B7" w14:textId="5B9145AE" w:rsidR="00D72B7E" w:rsidRP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D72B7E">
        <w:rPr>
          <w:rFonts w:ascii="Times New Roman" w:eastAsia="Times New Roman" w:hAnsi="Times New Roman" w:cs="Times New Roman"/>
          <w:b/>
          <w:bCs/>
          <w:sz w:val="56"/>
          <w:szCs w:val="56"/>
        </w:rPr>
        <w:t>Report on Allocations and Assignment of Waiver Slots (FY 2024)</w:t>
      </w:r>
    </w:p>
    <w:p w14:paraId="1B15CC93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35E49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8D67A" w14:textId="630B3FE9" w:rsidR="00D72B7E" w:rsidRPr="00D72B7E" w:rsidRDefault="00D72B7E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72B7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Item 311 R.2, 2022 Appropriation Act </w:t>
      </w:r>
    </w:p>
    <w:p w14:paraId="69963B8D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30A69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0D7B8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17308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66AD4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1148F" w14:textId="6AF537F5" w:rsidR="00D72B7E" w:rsidRPr="00D72B7E" w:rsidRDefault="00344D2F" w:rsidP="00D72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April 1, 2024</w:t>
      </w:r>
    </w:p>
    <w:p w14:paraId="1D1407C4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67079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5FBF2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27CF6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E4C39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AA921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94D27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B259A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EC7F2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CB35E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F1361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0595C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A49BB" w14:textId="77777777" w:rsidR="00D72B7E" w:rsidRDefault="00D72B7E" w:rsidP="00D72B7E">
      <w:pPr>
        <w:jc w:val="center"/>
        <w:rPr>
          <w:sz w:val="18"/>
          <w:szCs w:val="18"/>
        </w:rPr>
        <w:sectPr w:rsidR="00D72B7E" w:rsidSect="00DC517C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rPr>
          <w:sz w:val="18"/>
          <w:szCs w:val="18"/>
        </w:rPr>
        <w:t xml:space="preserve">1220 BANK STREET • P.O. BOX 1797 • RICHMOND, VIRGINIA 23218-1797 PHONE: (804) 786-3921 • FAX: (804) 371-6638 • WEB SITE: </w:t>
      </w:r>
      <w:r>
        <w:rPr>
          <w:color w:val="0563C1"/>
          <w:sz w:val="18"/>
          <w:szCs w:val="18"/>
          <w:u w:val="single"/>
        </w:rPr>
        <w:t>WWW.DBHDS.VIRGINIA.GOV</w:t>
      </w:r>
    </w:p>
    <w:p w14:paraId="52085466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244B3" w14:textId="17D374B0" w:rsidR="00734306" w:rsidRPr="00734306" w:rsidRDefault="00734306" w:rsidP="00D91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4306">
        <w:rPr>
          <w:rFonts w:ascii="Times New Roman" w:eastAsia="Times New Roman" w:hAnsi="Times New Roman" w:cs="Times New Roman"/>
          <w:b/>
          <w:bCs/>
          <w:sz w:val="36"/>
          <w:szCs w:val="36"/>
        </w:rPr>
        <w:t>Item 311 R.2 New Waiver Slots Report</w:t>
      </w:r>
    </w:p>
    <w:p w14:paraId="2448FDFB" w14:textId="77777777" w:rsidR="00734306" w:rsidRDefault="00734306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C47A6" w14:textId="6738777F" w:rsidR="00D72B7E" w:rsidRPr="00591D84" w:rsidRDefault="00734306" w:rsidP="00D91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Introduction</w:t>
      </w:r>
    </w:p>
    <w:p w14:paraId="53241248" w14:textId="77777777" w:rsidR="00D72B7E" w:rsidRDefault="00D72B7E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5A49C" w14:textId="3CFF9906" w:rsidR="00D91446" w:rsidRDefault="00D91446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6D0BCB">
        <w:rPr>
          <w:rFonts w:ascii="Times New Roman" w:eastAsia="Times New Roman" w:hAnsi="Times New Roman" w:cs="Times New Roman"/>
          <w:sz w:val="24"/>
          <w:szCs w:val="24"/>
        </w:rPr>
        <w:t>Developmental Disabilities (</w:t>
      </w:r>
      <w:r w:rsidR="00DD7B62">
        <w:rPr>
          <w:rFonts w:ascii="Times New Roman" w:eastAsia="Times New Roman" w:hAnsi="Times New Roman" w:cs="Times New Roman"/>
          <w:sz w:val="24"/>
          <w:szCs w:val="24"/>
        </w:rPr>
        <w:t>DD</w:t>
      </w:r>
      <w:r w:rsidR="006D0B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7B62">
        <w:rPr>
          <w:rFonts w:ascii="Times New Roman" w:eastAsia="Times New Roman" w:hAnsi="Times New Roman" w:cs="Times New Roman"/>
          <w:sz w:val="24"/>
          <w:szCs w:val="24"/>
        </w:rPr>
        <w:t xml:space="preserve"> waivers </w:t>
      </w:r>
      <w:r>
        <w:rPr>
          <w:rFonts w:ascii="Times New Roman" w:eastAsia="Times New Roman" w:hAnsi="Times New Roman" w:cs="Times New Roman"/>
          <w:sz w:val="24"/>
          <w:szCs w:val="24"/>
        </w:rPr>
        <w:t>slots appropriated for FY</w:t>
      </w:r>
      <w:r w:rsidR="00591D8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 by the beginning of the fiscal year were allocated to the </w:t>
      </w:r>
      <w:r w:rsidR="00344D2F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="00344D2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ervices </w:t>
      </w:r>
      <w:r w:rsidR="00344D2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oards (CSBs) by DBHDS. Note that this report does not include information about the DD waivers slots that were funded as of </w:t>
      </w:r>
      <w:r w:rsidR="00344D2F">
        <w:rPr>
          <w:rFonts w:ascii="Times New Roman" w:eastAsia="Times New Roman" w:hAnsi="Times New Roman" w:cs="Times New Roman"/>
          <w:sz w:val="24"/>
          <w:szCs w:val="24"/>
        </w:rPr>
        <w:t>January 1,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as those slots were not </w:t>
      </w:r>
      <w:r w:rsidR="00DD7B62">
        <w:rPr>
          <w:rFonts w:ascii="Times New Roman" w:eastAsia="Times New Roman" w:hAnsi="Times New Roman" w:cs="Times New Roman"/>
          <w:sz w:val="24"/>
          <w:szCs w:val="24"/>
        </w:rPr>
        <w:t xml:space="preserve">available to be </w:t>
      </w:r>
      <w:r>
        <w:rPr>
          <w:rFonts w:ascii="Times New Roman" w:eastAsia="Times New Roman" w:hAnsi="Times New Roman" w:cs="Times New Roman"/>
          <w:sz w:val="24"/>
          <w:szCs w:val="24"/>
        </w:rPr>
        <w:t>allocated by the end of the second quarter.</w:t>
      </w:r>
    </w:p>
    <w:p w14:paraId="0698AEBF" w14:textId="77777777" w:rsidR="00D91446" w:rsidRDefault="00D91446" w:rsidP="00D9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3500D" w14:textId="5FBC77DB" w:rsidR="00366227" w:rsidRDefault="00FD22F6" w:rsidP="00B8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F73C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details the total number of DD waivers slots appropriated for FY</w:t>
      </w:r>
      <w:r w:rsidR="00344D2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B82B50">
        <w:rPr>
          <w:rFonts w:ascii="Times New Roman" w:eastAsia="Times New Roman" w:hAnsi="Times New Roman" w:cs="Times New Roman"/>
          <w:sz w:val="24"/>
          <w:szCs w:val="24"/>
        </w:rPr>
        <w:t xml:space="preserve"> by the start of the fiscal year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B3482F">
        <w:rPr>
          <w:rFonts w:ascii="Times New Roman" w:eastAsia="Times New Roman" w:hAnsi="Times New Roman" w:cs="Times New Roman"/>
          <w:sz w:val="24"/>
          <w:szCs w:val="24"/>
        </w:rPr>
        <w:t xml:space="preserve">waiver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061AE5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number assigned as of the end of each quarter.  </w:t>
      </w:r>
      <w:r w:rsidR="004A305C">
        <w:rPr>
          <w:rFonts w:ascii="Times New Roman" w:eastAsia="Times New Roman" w:hAnsi="Times New Roman" w:cs="Times New Roman"/>
          <w:sz w:val="24"/>
          <w:szCs w:val="24"/>
        </w:rPr>
        <w:t>90 percent of the funded DD waiver</w:t>
      </w:r>
      <w:r w:rsidR="0022759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A305C">
        <w:rPr>
          <w:rFonts w:ascii="Times New Roman" w:eastAsia="Times New Roman" w:hAnsi="Times New Roman" w:cs="Times New Roman"/>
          <w:sz w:val="24"/>
          <w:szCs w:val="24"/>
        </w:rPr>
        <w:t xml:space="preserve"> slots were assigned to individuals by the end of the first quarter</w:t>
      </w:r>
      <w:r w:rsidR="00A55636">
        <w:rPr>
          <w:rFonts w:ascii="Times New Roman" w:eastAsia="Times New Roman" w:hAnsi="Times New Roman" w:cs="Times New Roman"/>
          <w:sz w:val="24"/>
          <w:szCs w:val="24"/>
        </w:rPr>
        <w:t xml:space="preserve"> through local Waiver Slot Assignment Committees (WSACs)</w:t>
      </w:r>
      <w:r w:rsidR="004A305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34C98">
        <w:rPr>
          <w:rFonts w:ascii="Times New Roman" w:eastAsia="Times New Roman" w:hAnsi="Times New Roman" w:cs="Times New Roman"/>
          <w:sz w:val="24"/>
          <w:szCs w:val="24"/>
        </w:rPr>
        <w:t>All but two of t</w:t>
      </w:r>
      <w:r w:rsidR="00366227">
        <w:rPr>
          <w:rFonts w:ascii="Times New Roman" w:eastAsia="Times New Roman" w:hAnsi="Times New Roman" w:cs="Times New Roman"/>
          <w:sz w:val="24"/>
          <w:szCs w:val="24"/>
        </w:rPr>
        <w:t xml:space="preserve">he remaining 10 percent of </w:t>
      </w:r>
      <w:r w:rsidR="00281EFA">
        <w:rPr>
          <w:rFonts w:ascii="Times New Roman" w:eastAsia="Times New Roman" w:hAnsi="Times New Roman" w:cs="Times New Roman"/>
          <w:sz w:val="24"/>
          <w:szCs w:val="24"/>
        </w:rPr>
        <w:t xml:space="preserve">the FY24 </w:t>
      </w:r>
      <w:r w:rsidR="00734C98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E8614C">
        <w:rPr>
          <w:rFonts w:ascii="Times New Roman" w:eastAsia="Times New Roman" w:hAnsi="Times New Roman" w:cs="Times New Roman"/>
          <w:sz w:val="24"/>
          <w:szCs w:val="24"/>
        </w:rPr>
        <w:t xml:space="preserve">assigned </w:t>
      </w:r>
      <w:r w:rsidR="001E6927">
        <w:rPr>
          <w:rFonts w:ascii="Times New Roman" w:eastAsia="Times New Roman" w:hAnsi="Times New Roman" w:cs="Times New Roman"/>
          <w:sz w:val="24"/>
          <w:szCs w:val="24"/>
        </w:rPr>
        <w:t xml:space="preserve">during the second quarter </w:t>
      </w:r>
      <w:r w:rsidR="00E8614C">
        <w:rPr>
          <w:rFonts w:ascii="Times New Roman" w:eastAsia="Times New Roman" w:hAnsi="Times New Roman" w:cs="Times New Roman"/>
          <w:sz w:val="24"/>
          <w:szCs w:val="24"/>
        </w:rPr>
        <w:t xml:space="preserve">through the </w:t>
      </w:r>
      <w:r w:rsidR="00E8614C" w:rsidRPr="001E69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regional</w:t>
      </w:r>
      <w:r w:rsidR="00E8614C">
        <w:rPr>
          <w:rFonts w:ascii="Times New Roman" w:eastAsia="Times New Roman" w:hAnsi="Times New Roman" w:cs="Times New Roman"/>
          <w:sz w:val="24"/>
          <w:szCs w:val="24"/>
        </w:rPr>
        <w:t xml:space="preserve"> WSAC process.  Per waiver </w:t>
      </w:r>
      <w:r w:rsidR="00BA306F">
        <w:rPr>
          <w:rFonts w:ascii="Times New Roman" w:eastAsia="Times New Roman" w:hAnsi="Times New Roman" w:cs="Times New Roman"/>
          <w:sz w:val="24"/>
          <w:szCs w:val="24"/>
        </w:rPr>
        <w:t>policy</w:t>
      </w:r>
      <w:r w:rsidR="00E86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306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306F" w:rsidRPr="00BA306F">
        <w:rPr>
          <w:rFonts w:ascii="Times New Roman" w:eastAsia="Times New Roman" w:hAnsi="Times New Roman" w:cs="Times New Roman"/>
          <w:sz w:val="24"/>
          <w:szCs w:val="24"/>
        </w:rPr>
        <w:t xml:space="preserve">f there are no individuals on the waiting list at a given CSB who </w:t>
      </w:r>
      <w:r w:rsidR="002B6306">
        <w:rPr>
          <w:rFonts w:ascii="Times New Roman" w:eastAsia="Times New Roman" w:hAnsi="Times New Roman" w:cs="Times New Roman"/>
          <w:sz w:val="24"/>
          <w:szCs w:val="24"/>
        </w:rPr>
        <w:t xml:space="preserve">are Priority 1 or </w:t>
      </w:r>
      <w:r w:rsidR="00BA306F" w:rsidRPr="00BA306F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="002B6306">
        <w:rPr>
          <w:rFonts w:ascii="Times New Roman" w:eastAsia="Times New Roman" w:hAnsi="Times New Roman" w:cs="Times New Roman"/>
          <w:sz w:val="24"/>
          <w:szCs w:val="24"/>
        </w:rPr>
        <w:t xml:space="preserve"> the types of services </w:t>
      </w:r>
      <w:proofErr w:type="gramStart"/>
      <w:r w:rsidR="002B6306">
        <w:rPr>
          <w:rFonts w:ascii="Times New Roman" w:eastAsia="Times New Roman" w:hAnsi="Times New Roman" w:cs="Times New Roman"/>
          <w:sz w:val="24"/>
          <w:szCs w:val="24"/>
        </w:rPr>
        <w:t>in a given</w:t>
      </w:r>
      <w:proofErr w:type="gramEnd"/>
      <w:r w:rsidR="002B6306">
        <w:rPr>
          <w:rFonts w:ascii="Times New Roman" w:eastAsia="Times New Roman" w:hAnsi="Times New Roman" w:cs="Times New Roman"/>
          <w:sz w:val="24"/>
          <w:szCs w:val="24"/>
        </w:rPr>
        <w:t xml:space="preserve"> waiver (e.g., </w:t>
      </w:r>
      <w:r w:rsidR="00BA306F" w:rsidRPr="00BA306F">
        <w:rPr>
          <w:rFonts w:ascii="Times New Roman" w:eastAsia="Times New Roman" w:hAnsi="Times New Roman" w:cs="Times New Roman"/>
          <w:sz w:val="24"/>
          <w:szCs w:val="24"/>
        </w:rPr>
        <w:t>group home or sponsored residential services</w:t>
      </w:r>
      <w:r w:rsidR="002B630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203E6">
        <w:rPr>
          <w:rFonts w:ascii="Times New Roman" w:eastAsia="Times New Roman" w:hAnsi="Times New Roman" w:cs="Times New Roman"/>
          <w:sz w:val="24"/>
          <w:szCs w:val="24"/>
        </w:rPr>
        <w:t>Community Living (</w:t>
      </w:r>
      <w:r w:rsidR="002B6306">
        <w:rPr>
          <w:rFonts w:ascii="Times New Roman" w:eastAsia="Times New Roman" w:hAnsi="Times New Roman" w:cs="Times New Roman"/>
          <w:sz w:val="24"/>
          <w:szCs w:val="24"/>
        </w:rPr>
        <w:t>CL</w:t>
      </w:r>
      <w:r w:rsidR="00D203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6306">
        <w:rPr>
          <w:rFonts w:ascii="Times New Roman" w:eastAsia="Times New Roman" w:hAnsi="Times New Roman" w:cs="Times New Roman"/>
          <w:sz w:val="24"/>
          <w:szCs w:val="24"/>
        </w:rPr>
        <w:t xml:space="preserve"> waiver slots), the available slot</w:t>
      </w:r>
      <w:r w:rsidR="00BA306F" w:rsidRPr="00BA306F">
        <w:rPr>
          <w:rFonts w:ascii="Times New Roman" w:eastAsia="Times New Roman" w:hAnsi="Times New Roman" w:cs="Times New Roman"/>
          <w:sz w:val="24"/>
          <w:szCs w:val="24"/>
        </w:rPr>
        <w:t xml:space="preserve"> may be held for 90 days in case an individual presents who does need those services.  If no one presents, a regional WSAC will be held to assign the vacant waiver slot(s).  </w:t>
      </w:r>
      <w:r w:rsidR="00866746">
        <w:rPr>
          <w:rFonts w:ascii="Times New Roman" w:eastAsia="Times New Roman" w:hAnsi="Times New Roman" w:cs="Times New Roman"/>
          <w:sz w:val="24"/>
          <w:szCs w:val="24"/>
        </w:rPr>
        <w:t xml:space="preserve">The two remaining unassigned slots are </w:t>
      </w:r>
      <w:r w:rsidR="007F29CE">
        <w:rPr>
          <w:rFonts w:ascii="Times New Roman" w:eastAsia="Times New Roman" w:hAnsi="Times New Roman" w:cs="Times New Roman"/>
          <w:sz w:val="24"/>
          <w:szCs w:val="24"/>
        </w:rPr>
        <w:t xml:space="preserve">CL </w:t>
      </w:r>
      <w:r w:rsidR="00866746">
        <w:rPr>
          <w:rFonts w:ascii="Times New Roman" w:eastAsia="Times New Roman" w:hAnsi="Times New Roman" w:cs="Times New Roman"/>
          <w:sz w:val="24"/>
          <w:szCs w:val="24"/>
        </w:rPr>
        <w:t>waiver slots</w:t>
      </w:r>
      <w:r w:rsidR="007F29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0707">
        <w:rPr>
          <w:rFonts w:ascii="Times New Roman" w:eastAsia="Times New Roman" w:hAnsi="Times New Roman" w:cs="Times New Roman"/>
          <w:sz w:val="24"/>
          <w:szCs w:val="24"/>
        </w:rPr>
        <w:t xml:space="preserve"> which cannot be assigned currently as there are no individuals on the Priority 1 portion of the waiting list requiring 24/7 residential services (</w:t>
      </w:r>
      <w:r w:rsidR="00DA0D97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E40707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="00DA0D9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0707">
        <w:rPr>
          <w:rFonts w:ascii="Times New Roman" w:eastAsia="Times New Roman" w:hAnsi="Times New Roman" w:cs="Times New Roman"/>
          <w:sz w:val="24"/>
          <w:szCs w:val="24"/>
        </w:rPr>
        <w:t xml:space="preserve"> for assignment of CL waiver slots).</w:t>
      </w:r>
    </w:p>
    <w:p w14:paraId="28A7D1C2" w14:textId="77777777" w:rsidR="00850078" w:rsidRDefault="00850078" w:rsidP="002419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3D8E51" w14:textId="77777777" w:rsidR="002419E8" w:rsidRDefault="002419E8" w:rsidP="0024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691A4E" w14:textId="76CB5B3D" w:rsidR="004F4141" w:rsidRDefault="004F4141" w:rsidP="004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8F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86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61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Total number of DD waivers slots appropriated for FY</w:t>
      </w:r>
      <w:r w:rsidR="00591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Pr="006A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6A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July 1, </w:t>
      </w:r>
      <w:r w:rsidR="007F2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2023,</w:t>
      </w:r>
      <w:r w:rsidR="008F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 w:rsidR="0079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waiver</w:t>
      </w:r>
      <w:r w:rsidRPr="006A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the number assigned by quarter.</w:t>
      </w:r>
      <w:r w:rsidRPr="00861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3E230804" w14:textId="77777777" w:rsidR="004F4141" w:rsidRDefault="004F4141" w:rsidP="004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15" w:type="dxa"/>
        <w:tblLook w:val="04A0" w:firstRow="1" w:lastRow="0" w:firstColumn="1" w:lastColumn="0" w:noHBand="0" w:noVBand="1"/>
      </w:tblPr>
      <w:tblGrid>
        <w:gridCol w:w="3215"/>
        <w:gridCol w:w="1601"/>
        <w:gridCol w:w="2019"/>
        <w:gridCol w:w="1980"/>
      </w:tblGrid>
      <w:tr w:rsidR="004F4141" w:rsidRPr="00655F09" w14:paraId="59BF36BC" w14:textId="77777777" w:rsidTr="00795573">
        <w:trPr>
          <w:trHeight w:val="636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74796" w14:textId="77777777" w:rsidR="004F4141" w:rsidRPr="00655F09" w:rsidRDefault="004F4141" w:rsidP="00D52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Slot Type - FY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21FEF" w14:textId="77777777" w:rsidR="004F4141" w:rsidRPr="00655F09" w:rsidRDefault="004F4141" w:rsidP="00D5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of Slots Appropriated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D084" w14:textId="77777777" w:rsidR="004F4141" w:rsidRPr="00655F09" w:rsidRDefault="004F4141" w:rsidP="00D527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# of Slots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Assigned as of Quarter end</w:t>
            </w:r>
          </w:p>
        </w:tc>
      </w:tr>
      <w:tr w:rsidR="004F4141" w:rsidRPr="00655F09" w14:paraId="69457026" w14:textId="77777777" w:rsidTr="00795573">
        <w:trPr>
          <w:trHeight w:val="50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3C1E3" w14:textId="77777777" w:rsidR="004F4141" w:rsidRPr="00655F09" w:rsidRDefault="004F4141" w:rsidP="00D52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10C" w14:textId="77777777" w:rsidR="004F4141" w:rsidRPr="00655F09" w:rsidRDefault="004F4141" w:rsidP="00D52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CD79F2" w14:textId="77777777" w:rsidR="004F4141" w:rsidRPr="00655F09" w:rsidRDefault="004F4141" w:rsidP="00D5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CC28C9" w14:textId="77777777" w:rsidR="004F4141" w:rsidRPr="00655F09" w:rsidRDefault="004F4141" w:rsidP="00D5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Pr="00655F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F4141" w:rsidRPr="00655F09" w14:paraId="3DC9888A" w14:textId="77777777" w:rsidTr="00795573">
        <w:trPr>
          <w:trHeight w:val="288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66F" w14:textId="77777777" w:rsidR="004F4141" w:rsidRPr="00655F09" w:rsidRDefault="004F4141" w:rsidP="00D5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 - Regular (No Restriction)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E7FE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2AE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B05" w14:textId="77777777" w:rsidR="004F4141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4F4141" w:rsidRPr="00655F09" w14:paraId="07891C01" w14:textId="77777777" w:rsidTr="00795573">
        <w:trPr>
          <w:trHeight w:val="288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FB5C" w14:textId="77777777" w:rsidR="004F4141" w:rsidRPr="00655F09" w:rsidRDefault="004F4141" w:rsidP="00D5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5F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 - Regular (No Restriction)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179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BE8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D206" w14:textId="77777777" w:rsidR="004F4141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</w:tr>
      <w:tr w:rsidR="004F4141" w:rsidRPr="00655F09" w14:paraId="6EDAA12D" w14:textId="77777777" w:rsidTr="00795573">
        <w:trPr>
          <w:trHeight w:val="3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41474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1618F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8865D" w14:textId="77777777" w:rsidR="004F4141" w:rsidRPr="00655F09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C276856" w14:textId="77777777" w:rsidR="004F4141" w:rsidRDefault="004F4141" w:rsidP="00D5273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</w:tr>
    </w:tbl>
    <w:p w14:paraId="546637CD" w14:textId="77777777" w:rsidR="004F4141" w:rsidRDefault="004F4141" w:rsidP="004F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FB0FE" w14:textId="061C10F8" w:rsidR="007D0AF4" w:rsidRDefault="007D0AF4" w:rsidP="00BE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93386" w14:textId="1AF68D47" w:rsidR="00004E87" w:rsidRDefault="000804AF" w:rsidP="00637F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70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1D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9F9">
        <w:rPr>
          <w:rFonts w:ascii="Times New Roman" w:eastAsia="Times New Roman" w:hAnsi="Times New Roman" w:cs="Times New Roman"/>
          <w:sz w:val="24"/>
          <w:szCs w:val="24"/>
        </w:rPr>
        <w:t xml:space="preserve">details the number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unique individuals assigned </w:t>
      </w:r>
      <w:r w:rsidRPr="007049F9">
        <w:rPr>
          <w:rFonts w:ascii="Times New Roman" w:eastAsia="Times New Roman" w:hAnsi="Times New Roman" w:cs="Times New Roman"/>
          <w:sz w:val="24"/>
          <w:szCs w:val="24"/>
        </w:rPr>
        <w:t>FY</w:t>
      </w:r>
      <w:r w:rsidR="00591D8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7049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51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49F9">
        <w:rPr>
          <w:rFonts w:ascii="Times New Roman" w:eastAsia="Times New Roman" w:hAnsi="Times New Roman" w:cs="Times New Roman"/>
          <w:sz w:val="24"/>
          <w:szCs w:val="24"/>
        </w:rPr>
        <w:t xml:space="preserve"> DD waivers slots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(both Community Living and Family &amp; Individual Supports </w:t>
      </w:r>
      <w:r w:rsidR="0054486C">
        <w:rPr>
          <w:rFonts w:ascii="Times New Roman" w:eastAsia="Times New Roman" w:hAnsi="Times New Roman" w:cs="Times New Roman"/>
          <w:sz w:val="24"/>
          <w:szCs w:val="24"/>
        </w:rPr>
        <w:t xml:space="preserve">(FIS)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waivers) as of the end of </w:t>
      </w:r>
      <w:r w:rsidR="00EC12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D38D2">
        <w:rPr>
          <w:rFonts w:ascii="Times New Roman" w:eastAsia="Times New Roman" w:hAnsi="Times New Roman" w:cs="Times New Roman"/>
          <w:sz w:val="24"/>
          <w:szCs w:val="24"/>
        </w:rPr>
        <w:t xml:space="preserve">second </w:t>
      </w:r>
      <w:r>
        <w:rPr>
          <w:rFonts w:ascii="Times New Roman" w:eastAsia="Times New Roman" w:hAnsi="Times New Roman" w:cs="Times New Roman"/>
          <w:sz w:val="24"/>
          <w:szCs w:val="24"/>
        </w:rPr>
        <w:t>quarter, by CSB, with the first column representing the total number of FY</w:t>
      </w:r>
      <w:r w:rsidR="00591D8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20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DD waiver</w:t>
      </w:r>
      <w:r w:rsidR="00B600A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slots each CSB had to assign</w:t>
      </w:r>
      <w:r w:rsidR="00CC0137">
        <w:rPr>
          <w:rFonts w:ascii="Times New Roman" w:eastAsia="Times New Roman" w:hAnsi="Times New Roman" w:cs="Times New Roman"/>
          <w:sz w:val="24"/>
          <w:szCs w:val="24"/>
        </w:rPr>
        <w:t xml:space="preserve"> (i.e., “allocated” to that CSB)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347C5F" w14:textId="52C403B7" w:rsidR="000804AF" w:rsidRPr="001B2EF3" w:rsidRDefault="00234748" w:rsidP="00637F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CSBs that have assigned all </w:t>
      </w:r>
      <w:r w:rsidR="00F70733">
        <w:rPr>
          <w:rFonts w:ascii="Times New Roman" w:hAnsi="Times New Roman" w:cs="Times New Roman"/>
          <w:sz w:val="24"/>
          <w:szCs w:val="24"/>
        </w:rPr>
        <w:t xml:space="preserve">FY </w:t>
      </w:r>
      <w:r w:rsidR="00591D84">
        <w:rPr>
          <w:rFonts w:ascii="Times New Roman" w:hAnsi="Times New Roman" w:cs="Times New Roman"/>
          <w:sz w:val="24"/>
          <w:szCs w:val="24"/>
        </w:rPr>
        <w:t>20</w:t>
      </w:r>
      <w:r w:rsidR="00F70733">
        <w:rPr>
          <w:rFonts w:ascii="Times New Roman" w:hAnsi="Times New Roman" w:cs="Times New Roman"/>
          <w:sz w:val="24"/>
          <w:szCs w:val="24"/>
        </w:rPr>
        <w:t xml:space="preserve">24 DD waivers slots that were </w:t>
      </w:r>
      <w:r w:rsidR="003215EF">
        <w:rPr>
          <w:rFonts w:ascii="Times New Roman" w:hAnsi="Times New Roman" w:cs="Times New Roman"/>
          <w:sz w:val="24"/>
          <w:szCs w:val="24"/>
        </w:rPr>
        <w:t xml:space="preserve">allocated </w:t>
      </w:r>
      <w:r w:rsidR="00F70733">
        <w:rPr>
          <w:rFonts w:ascii="Times New Roman" w:hAnsi="Times New Roman" w:cs="Times New Roman"/>
          <w:sz w:val="24"/>
          <w:szCs w:val="24"/>
        </w:rPr>
        <w:t xml:space="preserve">to them by the end of calendar year 2023 </w:t>
      </w:r>
      <w:r w:rsidR="008F3BAA">
        <w:rPr>
          <w:rFonts w:ascii="Times New Roman" w:hAnsi="Times New Roman" w:cs="Times New Roman"/>
          <w:sz w:val="24"/>
          <w:szCs w:val="24"/>
        </w:rPr>
        <w:t xml:space="preserve">have their total </w:t>
      </w:r>
      <w:r w:rsidR="009A0CE8">
        <w:rPr>
          <w:rFonts w:ascii="Times New Roman" w:hAnsi="Times New Roman" w:cs="Times New Roman"/>
          <w:sz w:val="24"/>
          <w:szCs w:val="24"/>
        </w:rPr>
        <w:t xml:space="preserve">“slots </w:t>
      </w:r>
      <w:r w:rsidR="008F3BAA">
        <w:rPr>
          <w:rFonts w:ascii="Times New Roman" w:hAnsi="Times New Roman" w:cs="Times New Roman"/>
          <w:sz w:val="24"/>
          <w:szCs w:val="24"/>
        </w:rPr>
        <w:t>allocated</w:t>
      </w:r>
      <w:r w:rsidR="009A0CE8">
        <w:rPr>
          <w:rFonts w:ascii="Times New Roman" w:hAnsi="Times New Roman" w:cs="Times New Roman"/>
          <w:sz w:val="24"/>
          <w:szCs w:val="24"/>
        </w:rPr>
        <w:t>”</w:t>
      </w:r>
      <w:r w:rsidR="008F3BAA">
        <w:rPr>
          <w:rFonts w:ascii="Times New Roman" w:hAnsi="Times New Roman" w:cs="Times New Roman"/>
          <w:sz w:val="24"/>
          <w:szCs w:val="24"/>
        </w:rPr>
        <w:t xml:space="preserve"> block shaded in green.  </w:t>
      </w:r>
      <w:r w:rsidR="0072247A">
        <w:rPr>
          <w:rFonts w:ascii="Times New Roman" w:hAnsi="Times New Roman" w:cs="Times New Roman"/>
          <w:sz w:val="24"/>
          <w:szCs w:val="24"/>
        </w:rPr>
        <w:t xml:space="preserve">As mentioned previously, the two </w:t>
      </w:r>
      <w:proofErr w:type="gramStart"/>
      <w:r w:rsidR="0072247A">
        <w:rPr>
          <w:rFonts w:ascii="Times New Roman" w:hAnsi="Times New Roman" w:cs="Times New Roman"/>
          <w:sz w:val="24"/>
          <w:szCs w:val="24"/>
        </w:rPr>
        <w:t>as yet</w:t>
      </w:r>
      <w:proofErr w:type="gramEnd"/>
      <w:r w:rsidR="0072247A">
        <w:rPr>
          <w:rFonts w:ascii="Times New Roman" w:hAnsi="Times New Roman" w:cs="Times New Roman"/>
          <w:sz w:val="24"/>
          <w:szCs w:val="24"/>
        </w:rPr>
        <w:t xml:space="preserve"> unassigned slots are CL waiver slots</w:t>
      </w:r>
      <w:r w:rsidR="004A07F8">
        <w:rPr>
          <w:rFonts w:ascii="Times New Roman" w:hAnsi="Times New Roman" w:cs="Times New Roman"/>
          <w:sz w:val="24"/>
          <w:szCs w:val="24"/>
        </w:rPr>
        <w:t xml:space="preserve">.  These will be assigned once an individual on the Priority 1 portion of the waiting list presents with a need for 24/7 residential supports. </w:t>
      </w:r>
    </w:p>
    <w:p w14:paraId="61EB6815" w14:textId="77777777" w:rsidR="00591D84" w:rsidRDefault="00591D84" w:rsidP="00936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3FD93" w14:textId="77777777" w:rsidR="00637FBA" w:rsidRDefault="00637FBA" w:rsidP="00936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E0C25" w14:textId="77777777" w:rsidR="00734306" w:rsidRDefault="00734306" w:rsidP="00936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D9AA6" w14:textId="1208394A" w:rsidR="009367D5" w:rsidRDefault="009367D5" w:rsidP="00936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3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>Total number of FY</w:t>
      </w:r>
      <w:r w:rsidR="00591D84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 xml:space="preserve">24 DD waivers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slots</w:t>
      </w:r>
      <w:r w:rsidR="00BF0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 xml:space="preserve">(both Community Living and Family &amp; Individual Supports) </w:t>
      </w:r>
      <w:r w:rsidR="00BF0BAE">
        <w:rPr>
          <w:rFonts w:ascii="Times New Roman" w:eastAsia="Times New Roman" w:hAnsi="Times New Roman" w:cs="Times New Roman"/>
          <w:b/>
          <w:sz w:val="24"/>
          <w:szCs w:val="24"/>
        </w:rPr>
        <w:t>appropriated for FY</w:t>
      </w:r>
      <w:r w:rsidR="00591D84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BF0BAE">
        <w:rPr>
          <w:rFonts w:ascii="Times New Roman" w:eastAsia="Times New Roman" w:hAnsi="Times New Roman" w:cs="Times New Roman"/>
          <w:b/>
          <w:sz w:val="24"/>
          <w:szCs w:val="24"/>
        </w:rPr>
        <w:t xml:space="preserve">24 by July 1, 2023, </w:t>
      </w:r>
      <w:r w:rsidRPr="009367D5">
        <w:rPr>
          <w:rFonts w:ascii="Times New Roman" w:eastAsia="Times New Roman" w:hAnsi="Times New Roman" w:cs="Times New Roman"/>
          <w:b/>
          <w:sz w:val="24"/>
          <w:szCs w:val="24"/>
        </w:rPr>
        <w:t>assigned by quarter and Community Services Board.</w:t>
      </w:r>
      <w:r w:rsidRPr="009367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3B092A" w14:textId="77777777" w:rsidR="003F74B4" w:rsidRPr="009367D5" w:rsidRDefault="003F74B4" w:rsidP="00936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6"/>
        <w:gridCol w:w="1161"/>
        <w:gridCol w:w="890"/>
        <w:gridCol w:w="933"/>
      </w:tblGrid>
      <w:tr w:rsidR="009367D5" w:rsidRPr="009367D5" w14:paraId="35DE0931" w14:textId="77777777" w:rsidTr="00D5273A">
        <w:trPr>
          <w:cantSplit/>
          <w:trHeight w:val="509"/>
        </w:trPr>
        <w:tc>
          <w:tcPr>
            <w:tcW w:w="3166" w:type="pct"/>
            <w:vMerge w:val="restart"/>
            <w:shd w:val="clear" w:color="000000" w:fill="D9D9D9"/>
            <w:vAlign w:val="bottom"/>
            <w:hideMark/>
          </w:tcPr>
          <w:p w14:paraId="21729DA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91D84">
              <w:rPr>
                <w:rFonts w:eastAsia="Times New Roman" w:cstheme="minorHAnsi"/>
                <w:b/>
                <w:bCs/>
                <w:sz w:val="24"/>
                <w:szCs w:val="24"/>
              </w:rPr>
              <w:t>Community Services Board</w:t>
            </w:r>
          </w:p>
        </w:tc>
        <w:tc>
          <w:tcPr>
            <w:tcW w:w="679" w:type="pct"/>
            <w:vMerge w:val="restart"/>
            <w:shd w:val="clear" w:color="000000" w:fill="D9D9D9"/>
            <w:vAlign w:val="bottom"/>
          </w:tcPr>
          <w:p w14:paraId="4518121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91D84">
              <w:rPr>
                <w:rFonts w:eastAsia="Times New Roman" w:cstheme="minorHAnsi"/>
                <w:b/>
                <w:bCs/>
                <w:sz w:val="24"/>
                <w:szCs w:val="24"/>
              </w:rPr>
              <w:t># of FY24 Slots Allocated</w:t>
            </w:r>
          </w:p>
        </w:tc>
        <w:tc>
          <w:tcPr>
            <w:tcW w:w="1155" w:type="pct"/>
            <w:gridSpan w:val="2"/>
            <w:shd w:val="clear" w:color="auto" w:fill="D9D9D9" w:themeFill="background1" w:themeFillShade="D9"/>
            <w:vAlign w:val="bottom"/>
          </w:tcPr>
          <w:p w14:paraId="477A320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# of Waivers Assigned</w:t>
            </w:r>
          </w:p>
        </w:tc>
      </w:tr>
      <w:tr w:rsidR="009367D5" w:rsidRPr="009367D5" w14:paraId="0954EAD5" w14:textId="77777777" w:rsidTr="00D5273A">
        <w:trPr>
          <w:cantSplit/>
          <w:trHeight w:val="20"/>
        </w:trPr>
        <w:tc>
          <w:tcPr>
            <w:tcW w:w="3166" w:type="pct"/>
            <w:vMerge/>
            <w:vAlign w:val="bottom"/>
            <w:hideMark/>
          </w:tcPr>
          <w:p w14:paraId="22135DB1" w14:textId="77777777" w:rsidR="009367D5" w:rsidRPr="009367D5" w:rsidRDefault="009367D5" w:rsidP="0093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pct"/>
            <w:vMerge/>
            <w:shd w:val="clear" w:color="000000" w:fill="D9D9D9"/>
            <w:vAlign w:val="bottom"/>
          </w:tcPr>
          <w:p w14:paraId="5BFE0E50" w14:textId="77777777" w:rsidR="009367D5" w:rsidRPr="009367D5" w:rsidRDefault="009367D5" w:rsidP="00936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shd w:val="clear" w:color="000000" w:fill="D9D9D9"/>
            <w:vAlign w:val="bottom"/>
            <w:hideMark/>
          </w:tcPr>
          <w:p w14:paraId="3C780A0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FY24</w:t>
            </w:r>
          </w:p>
          <w:p w14:paraId="6426594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77" w:type="pct"/>
            <w:shd w:val="clear" w:color="000000" w:fill="D9D9D9"/>
            <w:vAlign w:val="bottom"/>
          </w:tcPr>
          <w:p w14:paraId="2E3C00B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FY24</w:t>
            </w:r>
          </w:p>
          <w:p w14:paraId="4EF432F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Q2</w:t>
            </w:r>
          </w:p>
        </w:tc>
      </w:tr>
      <w:tr w:rsidR="009367D5" w:rsidRPr="00591D84" w14:paraId="3080DE68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957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ALEXANDRIA COMMUNITY SERV BD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28FD6E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A87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1D90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367D5" w:rsidRPr="00591D84" w14:paraId="45F456B7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FA0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ALLEGHANY HIGHLANDS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3E5760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B1F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0951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399F139A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8FB5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ARLINGTON MENTAL HEALTH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F28FBC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DAA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8019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53FEC921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D09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BLUE RIDGE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7B1FBE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D9C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E02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12B54217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EC5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CHESAPEAKE INTERGRATED BEHAV HEALTHCARE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D55173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D54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ACA0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2365FBAB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342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CHESTERFIELD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89DFD02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E47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29B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10700F6D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8CB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COLONIAL BEHAVIORAL HEALTH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44707C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E33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9BF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5D0A744D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812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CROSSROADS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2DC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1F5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CDC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0E9BEC2D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8C3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CUMBERLAND MNTL HLTH CTR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33CA09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26D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BE7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5E57F236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2C4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DANVILLE-PITTSYLVANIA COM SERV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D6E6C09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9ED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1647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5D7336B8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D84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DICKENSON COUNTY BEHAVIORAL HEALTH SVCS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BBE2E9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DD5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DC45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563568D6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124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DISTRICT 19 MEN HLTH SER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254002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EA3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CD7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7D632023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C29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EASTERN SHORE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D4C12E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47F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9CE1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7304DBEA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E73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Encompass Community Supports (Formerly RAPPAHANNOCK RAPIDAN CSB)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8B7C0D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BBF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C87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38177A11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99E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FAIRFAX-FALLS CHURCH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69E943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98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565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A58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</w:tr>
      <w:tr w:rsidR="009367D5" w:rsidRPr="00591D84" w14:paraId="066A19B5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B21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GOOCHLAND POWHATAN MENTAL HLTH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D672D5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4EB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0138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470C21FF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EB4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HAMPTON-NN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717CBC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67B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B51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263780FA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FEC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HANOVER COUNTY COMMUNITY SERVICES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ABB6C5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211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673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9367D5" w:rsidRPr="00591D84" w14:paraId="4D97CC11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CD4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HARRISONBURG-ROCKINGHAM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EDF5AE2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897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D3DC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7A379DCC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7AA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HENRICO AREA MENTAL HLTH &amp; DEVLPMNTL SVC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97AF1C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0CB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31C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2223EA0A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A5E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HIGHLANDS CMNTY SVCS BOARD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AC16B8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E14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F0C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099D29A5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57E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HORIZON BEHAVIORAL HEALTH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7F608D5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D92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834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737713DF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5E6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LOUDOUN COUNTY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2598FD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708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4FE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361540D6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478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MIDDLE PENINSULA NORTHERN NECK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BBDCC2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8EB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01A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6A26E98C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164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MOUNT ROGERS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915698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4CE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83E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1BFBA74E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808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NEW RIVER VALLEY COMMUNITY SERVICES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6812DE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E58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1D66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64306543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2C69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NORFOLK COMMUNITY SERVICES BOARD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20A802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210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C5C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3D5D3EC4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A7C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NORTHWESTERN COMMUNITY SVCS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A95B75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38DF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C7C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6AE79D80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A96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PIEDMONT COMMUNITY SERVICES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198200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211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043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0000ECD3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2A7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PLANNING DISTRICT ONE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C72FD1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B64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2520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011631CF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02D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PORTSMOUTH DEPT OF BEHAVIORAL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F9ACD3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9A1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E3D5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225E2237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7F7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PRINCE WILLIAM COUNTY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204EA3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263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6365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79BCCB5C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49A9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RAPPAHANNOCK AREA COMMUNITY SERVICES BRD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63D9C4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3F5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980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285C19CD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769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REGION TEN CMMNTY SVCS BRD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71B731D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029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C39A3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4A452B9B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A36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RICHMOND BHVRL HLTH AUTHORITY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6C8007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788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755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9367D5" w:rsidRPr="00591D84" w14:paraId="38919E25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BA5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ROCKBRIDGE AREA COMMUNITY SVS BOARD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9477E1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F93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7ED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9367D5" w:rsidRPr="00591D84" w14:paraId="63710BDE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CE3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SOUTHSIDE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A2F75C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7225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ABEB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60F6F5AB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3804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VALLEY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52EA84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6A5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75D2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030DD615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8F0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VIRGINIA BEACH CSB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5E6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90E0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8891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9367D5" w:rsidRPr="00591D84" w14:paraId="45FC94A3" w14:textId="77777777" w:rsidTr="00D5273A">
        <w:trPr>
          <w:cantSplit/>
          <w:trHeight w:val="20"/>
        </w:trPr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A87F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WESTERN TIDEWATER COMMUNITY SERVICES BOA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E9F129C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A92A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7678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9367D5" w:rsidRPr="00591D84" w14:paraId="24582C39" w14:textId="77777777" w:rsidTr="00D5273A">
        <w:trPr>
          <w:cantSplit/>
          <w:trHeight w:val="20"/>
        </w:trPr>
        <w:tc>
          <w:tcPr>
            <w:tcW w:w="3166" w:type="pct"/>
            <w:shd w:val="clear" w:color="000000" w:fill="D9D9D9"/>
            <w:noWrap/>
            <w:vAlign w:val="bottom"/>
            <w:hideMark/>
          </w:tcPr>
          <w:p w14:paraId="05DF1027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Total</w:t>
            </w:r>
          </w:p>
        </w:tc>
        <w:tc>
          <w:tcPr>
            <w:tcW w:w="679" w:type="pct"/>
            <w:shd w:val="clear" w:color="000000" w:fill="D9D9D9"/>
            <w:vAlign w:val="bottom"/>
          </w:tcPr>
          <w:p w14:paraId="597B60F6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577" w:type="pct"/>
            <w:shd w:val="clear" w:color="000000" w:fill="D9D9D9"/>
            <w:noWrap/>
            <w:vAlign w:val="bottom"/>
          </w:tcPr>
          <w:p w14:paraId="6D43B16E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539</w:t>
            </w:r>
          </w:p>
        </w:tc>
        <w:tc>
          <w:tcPr>
            <w:tcW w:w="577" w:type="pct"/>
            <w:shd w:val="clear" w:color="000000" w:fill="D9D9D9"/>
            <w:vAlign w:val="bottom"/>
          </w:tcPr>
          <w:p w14:paraId="58FAB0A9" w14:textId="77777777" w:rsidR="009367D5" w:rsidRPr="00591D84" w:rsidRDefault="009367D5" w:rsidP="00936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sz w:val="20"/>
                <w:szCs w:val="20"/>
              </w:rPr>
              <w:t>59</w:t>
            </w:r>
          </w:p>
        </w:tc>
      </w:tr>
    </w:tbl>
    <w:p w14:paraId="7DC3A0C1" w14:textId="77777777" w:rsidR="000804AF" w:rsidRDefault="000804AF" w:rsidP="00BE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EA550" w14:textId="77777777" w:rsidR="00C3050C" w:rsidRDefault="00C3050C" w:rsidP="0018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44DD2" w14:textId="77777777" w:rsidR="00591D84" w:rsidRDefault="00591D84" w:rsidP="0018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47A33" w14:textId="05B8BF42" w:rsidR="00C02868" w:rsidRDefault="00CE6A83" w:rsidP="0018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Table 3 lists the number of individuals assigned </w:t>
      </w:r>
      <w:r w:rsidR="009E4BF3">
        <w:rPr>
          <w:rFonts w:ascii="Times New Roman" w:hAnsi="Times New Roman" w:cs="Times New Roman"/>
          <w:sz w:val="24"/>
          <w:szCs w:val="24"/>
        </w:rPr>
        <w:t>a FY</w:t>
      </w:r>
      <w:r w:rsidR="00591D84">
        <w:rPr>
          <w:rFonts w:ascii="Times New Roman" w:hAnsi="Times New Roman" w:cs="Times New Roman"/>
          <w:sz w:val="24"/>
          <w:szCs w:val="24"/>
        </w:rPr>
        <w:t xml:space="preserve"> 20</w:t>
      </w:r>
      <w:r w:rsidR="009E4BF3">
        <w:rPr>
          <w:rFonts w:ascii="Times New Roman" w:hAnsi="Times New Roman" w:cs="Times New Roman"/>
          <w:sz w:val="24"/>
          <w:szCs w:val="24"/>
        </w:rPr>
        <w:t xml:space="preserve">24 slot by CSB who have been authorized to </w:t>
      </w:r>
      <w:r w:rsidR="009E451D">
        <w:rPr>
          <w:rFonts w:ascii="Times New Roman" w:hAnsi="Times New Roman" w:cs="Times New Roman"/>
          <w:sz w:val="24"/>
          <w:szCs w:val="24"/>
        </w:rPr>
        <w:t xml:space="preserve">receive </w:t>
      </w:r>
      <w:r w:rsidR="009E4BF3">
        <w:rPr>
          <w:rFonts w:ascii="Times New Roman" w:hAnsi="Times New Roman" w:cs="Times New Roman"/>
          <w:sz w:val="24"/>
          <w:szCs w:val="24"/>
        </w:rPr>
        <w:t xml:space="preserve">at least one DD waiver service.  </w:t>
      </w:r>
      <w:r w:rsidR="000E06A0">
        <w:rPr>
          <w:rFonts w:ascii="Times New Roman" w:hAnsi="Times New Roman" w:cs="Times New Roman"/>
          <w:sz w:val="24"/>
          <w:szCs w:val="24"/>
        </w:rPr>
        <w:t xml:space="preserve">By the end of the second quarter, </w:t>
      </w:r>
      <w:r w:rsidR="00F626AA">
        <w:rPr>
          <w:rFonts w:ascii="Times New Roman" w:hAnsi="Times New Roman" w:cs="Times New Roman"/>
          <w:sz w:val="24"/>
          <w:szCs w:val="24"/>
        </w:rPr>
        <w:t xml:space="preserve">260 </w:t>
      </w:r>
      <w:r w:rsidR="00B41627">
        <w:rPr>
          <w:rFonts w:ascii="Times New Roman" w:hAnsi="Times New Roman" w:cs="Times New Roman"/>
          <w:sz w:val="24"/>
          <w:szCs w:val="24"/>
        </w:rPr>
        <w:t xml:space="preserve">of the 598 </w:t>
      </w:r>
      <w:r w:rsidR="000E06A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626AA">
        <w:rPr>
          <w:rFonts w:ascii="Times New Roman" w:hAnsi="Times New Roman" w:cs="Times New Roman"/>
          <w:sz w:val="24"/>
          <w:szCs w:val="24"/>
        </w:rPr>
        <w:t xml:space="preserve">(43 percent) </w:t>
      </w:r>
      <w:r w:rsidR="000E06A0">
        <w:rPr>
          <w:rFonts w:ascii="Times New Roman" w:hAnsi="Times New Roman" w:cs="Times New Roman"/>
          <w:sz w:val="24"/>
          <w:szCs w:val="24"/>
        </w:rPr>
        <w:t>assigned a FY</w:t>
      </w:r>
      <w:r w:rsidR="00591D84">
        <w:rPr>
          <w:rFonts w:ascii="Times New Roman" w:hAnsi="Times New Roman" w:cs="Times New Roman"/>
          <w:sz w:val="24"/>
          <w:szCs w:val="24"/>
        </w:rPr>
        <w:t xml:space="preserve"> 20</w:t>
      </w:r>
      <w:r w:rsidR="000E06A0">
        <w:rPr>
          <w:rFonts w:ascii="Times New Roman" w:hAnsi="Times New Roman" w:cs="Times New Roman"/>
          <w:sz w:val="24"/>
          <w:szCs w:val="24"/>
        </w:rPr>
        <w:t xml:space="preserve">24 slot had been authorized for at least one service. </w:t>
      </w:r>
      <w:r w:rsidR="00677F1F" w:rsidRPr="00677F1F">
        <w:rPr>
          <w:rFonts w:ascii="Times New Roman" w:hAnsi="Times New Roman" w:cs="Times New Roman"/>
          <w:sz w:val="24"/>
          <w:szCs w:val="24"/>
        </w:rPr>
        <w:t xml:space="preserve">These slots were assigned </w:t>
      </w:r>
      <w:r w:rsidR="00DF53FC">
        <w:rPr>
          <w:rFonts w:ascii="Times New Roman" w:hAnsi="Times New Roman" w:cs="Times New Roman"/>
          <w:sz w:val="24"/>
          <w:szCs w:val="24"/>
        </w:rPr>
        <w:t xml:space="preserve">by local WSACs </w:t>
      </w:r>
      <w:r w:rsidR="00343FAC">
        <w:rPr>
          <w:rFonts w:ascii="Times New Roman" w:hAnsi="Times New Roman" w:cs="Times New Roman"/>
          <w:sz w:val="24"/>
          <w:szCs w:val="24"/>
        </w:rPr>
        <w:t xml:space="preserve">between </w:t>
      </w:r>
      <w:r w:rsidR="00677F1F" w:rsidRPr="00677F1F">
        <w:rPr>
          <w:rFonts w:ascii="Times New Roman" w:hAnsi="Times New Roman" w:cs="Times New Roman"/>
          <w:sz w:val="24"/>
          <w:szCs w:val="24"/>
        </w:rPr>
        <w:t>August and September</w:t>
      </w:r>
      <w:r w:rsidR="00343FAC">
        <w:rPr>
          <w:rFonts w:ascii="Times New Roman" w:hAnsi="Times New Roman" w:cs="Times New Roman"/>
          <w:sz w:val="24"/>
          <w:szCs w:val="24"/>
        </w:rPr>
        <w:t>, with regional WSAC assignments occurring in</w:t>
      </w:r>
      <w:r w:rsidR="00677F1F" w:rsidRPr="00677F1F">
        <w:rPr>
          <w:rFonts w:ascii="Times New Roman" w:hAnsi="Times New Roman" w:cs="Times New Roman"/>
          <w:sz w:val="24"/>
          <w:szCs w:val="24"/>
        </w:rPr>
        <w:t xml:space="preserve"> October. </w:t>
      </w:r>
      <w:r w:rsidR="00980046">
        <w:rPr>
          <w:rFonts w:ascii="Times New Roman" w:hAnsi="Times New Roman" w:cs="Times New Roman"/>
          <w:sz w:val="24"/>
          <w:szCs w:val="24"/>
        </w:rPr>
        <w:t xml:space="preserve">Individuals are permitted by regulation 150 days to </w:t>
      </w:r>
      <w:r w:rsidR="00FA7D0D">
        <w:rPr>
          <w:rFonts w:ascii="Times New Roman" w:hAnsi="Times New Roman" w:cs="Times New Roman"/>
          <w:sz w:val="24"/>
          <w:szCs w:val="24"/>
        </w:rPr>
        <w:t>initiate services</w:t>
      </w:r>
      <w:r w:rsidR="00DE21B6">
        <w:rPr>
          <w:rFonts w:ascii="Times New Roman" w:hAnsi="Times New Roman" w:cs="Times New Roman"/>
          <w:sz w:val="24"/>
          <w:szCs w:val="24"/>
        </w:rPr>
        <w:t xml:space="preserve">; therefore, all </w:t>
      </w:r>
      <w:r w:rsidR="00C15E1E">
        <w:rPr>
          <w:rFonts w:ascii="Times New Roman" w:hAnsi="Times New Roman" w:cs="Times New Roman"/>
          <w:sz w:val="24"/>
          <w:szCs w:val="24"/>
        </w:rPr>
        <w:t>we</w:t>
      </w:r>
      <w:r w:rsidR="00DE21B6">
        <w:rPr>
          <w:rFonts w:ascii="Times New Roman" w:hAnsi="Times New Roman" w:cs="Times New Roman"/>
          <w:sz w:val="24"/>
          <w:szCs w:val="24"/>
        </w:rPr>
        <w:t xml:space="preserve">re within this time limit as of the end of the second quarter. </w:t>
      </w:r>
    </w:p>
    <w:p w14:paraId="06474F8D" w14:textId="77777777" w:rsidR="00C02868" w:rsidRDefault="00C02868" w:rsidP="0018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0032" w14:textId="6B77D12B" w:rsidR="001810E2" w:rsidRPr="00591D84" w:rsidRDefault="00C02868" w:rsidP="0018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D84">
        <w:rPr>
          <w:rFonts w:ascii="Times New Roman" w:hAnsi="Times New Roman" w:cs="Times New Roman"/>
          <w:sz w:val="24"/>
          <w:szCs w:val="24"/>
        </w:rPr>
        <w:t>T</w:t>
      </w:r>
      <w:r w:rsidR="00B624AA" w:rsidRPr="00591D84">
        <w:rPr>
          <w:rFonts w:ascii="Times New Roman" w:hAnsi="Times New Roman" w:cs="Times New Roman"/>
          <w:sz w:val="24"/>
          <w:szCs w:val="24"/>
        </w:rPr>
        <w:t>he s</w:t>
      </w:r>
      <w:r w:rsidR="009E4BF3" w:rsidRPr="00591D84">
        <w:rPr>
          <w:rFonts w:ascii="Times New Roman" w:hAnsi="Times New Roman" w:cs="Times New Roman"/>
          <w:sz w:val="24"/>
          <w:szCs w:val="24"/>
        </w:rPr>
        <w:t xml:space="preserve">tart of services always </w:t>
      </w:r>
      <w:proofErr w:type="gramStart"/>
      <w:r w:rsidR="009E4BF3" w:rsidRPr="00591D84">
        <w:rPr>
          <w:rFonts w:ascii="Times New Roman" w:hAnsi="Times New Roman" w:cs="Times New Roman"/>
          <w:sz w:val="24"/>
          <w:szCs w:val="24"/>
        </w:rPr>
        <w:t>lags behind</w:t>
      </w:r>
      <w:proofErr w:type="gramEnd"/>
      <w:r w:rsidR="009E4BF3" w:rsidRPr="00591D84">
        <w:rPr>
          <w:rFonts w:ascii="Times New Roman" w:hAnsi="Times New Roman" w:cs="Times New Roman"/>
          <w:sz w:val="24"/>
          <w:szCs w:val="24"/>
        </w:rPr>
        <w:t xml:space="preserve"> the </w:t>
      </w:r>
      <w:r w:rsidR="005D5D87" w:rsidRPr="00591D84">
        <w:rPr>
          <w:rFonts w:ascii="Times New Roman" w:hAnsi="Times New Roman" w:cs="Times New Roman"/>
          <w:sz w:val="24"/>
          <w:szCs w:val="24"/>
        </w:rPr>
        <w:t xml:space="preserve">actual </w:t>
      </w:r>
      <w:r w:rsidR="009E4BF3" w:rsidRPr="00591D84">
        <w:rPr>
          <w:rFonts w:ascii="Times New Roman" w:hAnsi="Times New Roman" w:cs="Times New Roman"/>
          <w:sz w:val="24"/>
          <w:szCs w:val="24"/>
        </w:rPr>
        <w:t>assignment of the slot</w:t>
      </w:r>
      <w:r w:rsidR="00F84A22" w:rsidRPr="00591D84">
        <w:rPr>
          <w:rFonts w:ascii="Times New Roman" w:hAnsi="Times New Roman" w:cs="Times New Roman"/>
          <w:sz w:val="24"/>
          <w:szCs w:val="24"/>
        </w:rPr>
        <w:t xml:space="preserve"> due to </w:t>
      </w:r>
      <w:r w:rsidR="001810E2" w:rsidRPr="00591D84">
        <w:rPr>
          <w:rFonts w:ascii="Times New Roman" w:hAnsi="Times New Roman" w:cs="Times New Roman"/>
          <w:sz w:val="24"/>
          <w:szCs w:val="24"/>
        </w:rPr>
        <w:t xml:space="preserve">the </w:t>
      </w:r>
      <w:r w:rsidR="00914209" w:rsidRPr="00591D84">
        <w:rPr>
          <w:rFonts w:ascii="Times New Roman" w:hAnsi="Times New Roman" w:cs="Times New Roman"/>
          <w:sz w:val="24"/>
          <w:szCs w:val="24"/>
        </w:rPr>
        <w:t xml:space="preserve">time needed to accomplish the </w:t>
      </w:r>
      <w:r w:rsidR="001810E2" w:rsidRPr="00591D84">
        <w:rPr>
          <w:rFonts w:ascii="Times New Roman" w:hAnsi="Times New Roman" w:cs="Times New Roman"/>
          <w:sz w:val="24"/>
          <w:szCs w:val="24"/>
        </w:rPr>
        <w:t>following steps, which must be undertaken before services may begin:</w:t>
      </w:r>
      <w:r w:rsidR="001810E2" w:rsidRPr="00591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B58351" w14:textId="77777777" w:rsidR="001810E2" w:rsidRPr="00591D84" w:rsidRDefault="001810E2" w:rsidP="00181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B655B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 formal acceptance of the slot offered</w:t>
      </w:r>
    </w:p>
    <w:p w14:paraId="24EC5756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Confirmation/updating of functional and financial eligibility</w:t>
      </w:r>
    </w:p>
    <w:p w14:paraId="19DF3AB6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Confirmation of updated physical exam</w:t>
      </w:r>
    </w:p>
    <w:p w14:paraId="23DC2200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Individual/family selection of service providers</w:t>
      </w:r>
    </w:p>
    <w:p w14:paraId="4F111139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providers intake process for the new individual</w:t>
      </w:r>
    </w:p>
    <w:p w14:paraId="5CCE8C86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Development of the Individual Support Plan</w:t>
      </w:r>
    </w:p>
    <w:p w14:paraId="7AF1E231" w14:textId="77777777" w:rsidR="001810E2" w:rsidRPr="00637FBA" w:rsidRDefault="001810E2" w:rsidP="00181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Authorization process</w:t>
      </w:r>
    </w:p>
    <w:p w14:paraId="2C7F791F" w14:textId="77777777" w:rsidR="001810E2" w:rsidRPr="00591D84" w:rsidRDefault="001810E2" w:rsidP="001810E2">
      <w:pPr>
        <w:spacing w:after="0" w:line="240" w:lineRule="auto"/>
        <w:rPr>
          <w:rFonts w:ascii="Times New Roman" w:hAnsi="Times New Roman" w:cs="Times New Roman"/>
        </w:rPr>
      </w:pPr>
    </w:p>
    <w:p w14:paraId="06C345EB" w14:textId="542A80F3" w:rsidR="00F91061" w:rsidRPr="00591D84" w:rsidRDefault="00841583" w:rsidP="00637F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D84"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 w:rsidRPr="00591D84">
        <w:rPr>
          <w:rFonts w:ascii="Times New Roman" w:hAnsi="Times New Roman" w:cs="Times New Roman"/>
          <w:sz w:val="24"/>
          <w:szCs w:val="24"/>
        </w:rPr>
        <w:t xml:space="preserve"> an individual does not begin services within 30 days of slot assignment, the CSB support coordinator must request to retain that slot for the individual. 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DBHDS </w:t>
      </w:r>
      <w:r w:rsidR="004D269E" w:rsidRPr="00591D84">
        <w:rPr>
          <w:rFonts w:ascii="Times New Roman" w:eastAsia="Times New Roman" w:hAnsi="Times New Roman" w:cs="Times New Roman"/>
          <w:sz w:val="24"/>
          <w:szCs w:val="24"/>
        </w:rPr>
        <w:t>then has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 the authority to approve the slot-retention request in 30-day extensions, up to a maximum of four consecutive extensions</w:t>
      </w:r>
      <w:r w:rsidR="00F90A46" w:rsidRPr="00591D84">
        <w:rPr>
          <w:rFonts w:ascii="Times New Roman" w:eastAsia="Times New Roman" w:hAnsi="Times New Roman" w:cs="Times New Roman"/>
          <w:sz w:val="24"/>
          <w:szCs w:val="24"/>
        </w:rPr>
        <w:t xml:space="preserve"> (t</w:t>
      </w:r>
      <w:r w:rsidR="002214B4" w:rsidRPr="00591D84">
        <w:rPr>
          <w:rFonts w:ascii="Times New Roman" w:eastAsia="Times New Roman" w:hAnsi="Times New Roman" w:cs="Times New Roman"/>
          <w:sz w:val="24"/>
          <w:szCs w:val="24"/>
        </w:rPr>
        <w:t>hus t</w:t>
      </w:r>
      <w:r w:rsidR="00F90A46" w:rsidRPr="00591D84">
        <w:rPr>
          <w:rFonts w:ascii="Times New Roman" w:eastAsia="Times New Roman" w:hAnsi="Times New Roman" w:cs="Times New Roman"/>
          <w:sz w:val="24"/>
          <w:szCs w:val="24"/>
        </w:rPr>
        <w:t>he 150 days</w:t>
      </w:r>
      <w:r w:rsidR="003D191C" w:rsidRPr="00591D84">
        <w:rPr>
          <w:rFonts w:ascii="Times New Roman" w:eastAsia="Times New Roman" w:hAnsi="Times New Roman" w:cs="Times New Roman"/>
          <w:sz w:val="24"/>
          <w:szCs w:val="24"/>
        </w:rPr>
        <w:t xml:space="preserve"> referenced above</w:t>
      </w:r>
      <w:r w:rsidR="00F90A46" w:rsidRPr="00591D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16CD" w:rsidRPr="00591D84">
        <w:rPr>
          <w:rFonts w:ascii="Times New Roman" w:eastAsia="Times New Roman" w:hAnsi="Times New Roman" w:cs="Times New Roman"/>
          <w:sz w:val="24"/>
          <w:szCs w:val="24"/>
        </w:rPr>
        <w:t>.  Alternatively, DBHDS may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 deny </w:t>
      </w:r>
      <w:r w:rsidR="004716CD" w:rsidRPr="00591D8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request to retain the waiver slot for </w:t>
      </w:r>
      <w:r w:rsidR="004716CD" w:rsidRPr="00591D8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>individual when</w:t>
      </w:r>
      <w:r w:rsidR="004716CD" w:rsidRPr="00591D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 at the end of </w:t>
      </w:r>
      <w:r w:rsidR="006C33C6" w:rsidRPr="00591D84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 extension </w:t>
      </w:r>
      <w:proofErr w:type="gramStart"/>
      <w:r w:rsidRPr="00591D84">
        <w:rPr>
          <w:rFonts w:ascii="Times New Roman" w:eastAsia="Times New Roman" w:hAnsi="Times New Roman" w:cs="Times New Roman"/>
          <w:sz w:val="24"/>
          <w:szCs w:val="24"/>
        </w:rPr>
        <w:t>time period</w:t>
      </w:r>
      <w:proofErr w:type="gramEnd"/>
      <w:r w:rsidR="004716CD" w:rsidRPr="00591D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1D84">
        <w:rPr>
          <w:rFonts w:ascii="Times New Roman" w:eastAsia="Times New Roman" w:hAnsi="Times New Roman" w:cs="Times New Roman"/>
          <w:sz w:val="24"/>
          <w:szCs w:val="24"/>
        </w:rPr>
        <w:t xml:space="preserve"> there is no evidence of the individual's efforts to utilize waiver services.</w:t>
      </w:r>
      <w:r w:rsidR="004D269E" w:rsidRPr="00591D84">
        <w:rPr>
          <w:rFonts w:ascii="Times New Roman" w:eastAsia="Times New Roman" w:hAnsi="Times New Roman" w:cs="Times New Roman"/>
          <w:sz w:val="24"/>
          <w:szCs w:val="24"/>
        </w:rPr>
        <w:t xml:space="preserve"> This process was suspended during the P</w:t>
      </w:r>
      <w:r w:rsidR="00BF47AF" w:rsidRPr="00591D84">
        <w:rPr>
          <w:rFonts w:ascii="Times New Roman" w:eastAsia="Times New Roman" w:hAnsi="Times New Roman" w:cs="Times New Roman"/>
          <w:sz w:val="24"/>
          <w:szCs w:val="24"/>
        </w:rPr>
        <w:t>ublic Health Emergency but is now active again</w:t>
      </w:r>
      <w:r w:rsidR="006C6CAB" w:rsidRPr="00591D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47AF" w:rsidRPr="00591D84">
        <w:rPr>
          <w:rFonts w:ascii="Times New Roman" w:eastAsia="Times New Roman" w:hAnsi="Times New Roman" w:cs="Times New Roman"/>
          <w:sz w:val="24"/>
          <w:szCs w:val="24"/>
        </w:rPr>
        <w:t xml:space="preserve"> and DBHDS will be closely monitoring the initiation of services for all new DD waivers slots.</w:t>
      </w:r>
    </w:p>
    <w:tbl>
      <w:tblPr>
        <w:tblpPr w:leftFromText="180" w:rightFromText="180" w:vertAnchor="text" w:tblpY="1"/>
        <w:tblOverlap w:val="never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F91061" w:rsidRPr="00F91061" w14:paraId="4D057F14" w14:textId="77777777" w:rsidTr="00D5273A">
        <w:trPr>
          <w:trHeight w:val="660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43DF" w14:textId="4939C919" w:rsidR="00F91061" w:rsidRPr="00637FBA" w:rsidRDefault="00F91061" w:rsidP="00F910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3.</w:t>
            </w:r>
            <w:r w:rsidRPr="0063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individuals who received a FY</w:t>
            </w:r>
            <w:r w:rsidR="00591D84"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DD waiver </w:t>
            </w:r>
            <w:r w:rsidR="006A793D"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slot </w:t>
            </w:r>
            <w:r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(both Community Living and Family &amp; Individual Supports) </w:t>
            </w:r>
            <w:r w:rsidR="006A793D"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appropriated for FY</w:t>
            </w:r>
            <w:r w:rsidR="00591D84"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6A793D"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by July 1, 2023, </w:t>
            </w:r>
            <w:r w:rsidRPr="00637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by quarter of their first service approved and CSB.</w:t>
            </w:r>
          </w:p>
        </w:tc>
      </w:tr>
    </w:tbl>
    <w:p w14:paraId="66E8FD87" w14:textId="77777777" w:rsidR="00F91061" w:rsidRPr="00F91061" w:rsidRDefault="00F91061" w:rsidP="00F91061">
      <w:pPr>
        <w:rPr>
          <w:rFonts w:ascii="Times" w:eastAsia="Times New Roman" w:hAnsi="Times" w:cs="Time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2"/>
        <w:gridCol w:w="1988"/>
        <w:gridCol w:w="2090"/>
      </w:tblGrid>
      <w:tr w:rsidR="00F91061" w:rsidRPr="00591D84" w14:paraId="2A9A33FB" w14:textId="77777777" w:rsidTr="00D5273A">
        <w:trPr>
          <w:trHeight w:val="288"/>
        </w:trPr>
        <w:tc>
          <w:tcPr>
            <w:tcW w:w="3994" w:type="pct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14:paraId="13530707" w14:textId="77777777" w:rsidR="00F91061" w:rsidRPr="00591D84" w:rsidRDefault="00F91061" w:rsidP="00F91061">
            <w:pPr>
              <w:spacing w:after="200"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Community Services Board</w:t>
            </w:r>
          </w:p>
        </w:tc>
        <w:tc>
          <w:tcPr>
            <w:tcW w:w="1006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734148FE" w14:textId="7284F6E6" w:rsidR="00F91061" w:rsidRPr="00591D84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Total Persons with FY</w:t>
            </w:r>
            <w:r w:rsidR="00591D84"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20</w:t>
            </w: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24 Slots Authorized for Services</w:t>
            </w:r>
          </w:p>
        </w:tc>
      </w:tr>
      <w:tr w:rsidR="00F91061" w:rsidRPr="00591D84" w14:paraId="26D5161B" w14:textId="77777777" w:rsidTr="00D5273A">
        <w:trPr>
          <w:trHeight w:val="288"/>
        </w:trPr>
        <w:tc>
          <w:tcPr>
            <w:tcW w:w="3994" w:type="pct"/>
            <w:vMerge/>
            <w:shd w:val="clear" w:color="auto" w:fill="D9D9D9" w:themeFill="background1" w:themeFillShade="D9"/>
            <w:noWrap/>
            <w:vAlign w:val="bottom"/>
          </w:tcPr>
          <w:p w14:paraId="78C8F9D3" w14:textId="77777777" w:rsidR="00F91061" w:rsidRPr="00591D84" w:rsidRDefault="00F91061" w:rsidP="00F91061">
            <w:pPr>
              <w:spacing w:after="200"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D9D9D9" w:themeFill="background1" w:themeFillShade="D9"/>
            <w:noWrap/>
            <w:vAlign w:val="bottom"/>
          </w:tcPr>
          <w:p w14:paraId="51250518" w14:textId="77777777" w:rsidR="00F91061" w:rsidRPr="00591D84" w:rsidRDefault="00F91061" w:rsidP="00F91061">
            <w:pPr>
              <w:spacing w:after="200"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2024 Q1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bottom"/>
          </w:tcPr>
          <w:p w14:paraId="144143DC" w14:textId="77777777" w:rsidR="00F91061" w:rsidRPr="00591D84" w:rsidRDefault="00F91061" w:rsidP="00F91061">
            <w:pPr>
              <w:spacing w:after="200"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91D84">
              <w:rPr>
                <w:rFonts w:eastAsia="Times New Roman" w:cstheme="minorHAnsi"/>
                <w:b/>
                <w:bCs/>
                <w:sz w:val="20"/>
                <w:szCs w:val="20"/>
              </w:rPr>
              <w:t>2024 Q2</w:t>
            </w:r>
          </w:p>
        </w:tc>
      </w:tr>
      <w:tr w:rsidR="00F91061" w:rsidRPr="00591D84" w14:paraId="672F9004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57BDD2B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ALEXANDRIA COMMUNITY SERV BD</w:t>
            </w:r>
          </w:p>
        </w:tc>
        <w:tc>
          <w:tcPr>
            <w:tcW w:w="490" w:type="pct"/>
            <w:noWrap/>
            <w:vAlign w:val="bottom"/>
            <w:hideMark/>
          </w:tcPr>
          <w:p w14:paraId="2849863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27AE5CEC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4AED6B6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6B4D1D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ALLEGHANY HIGHLANDS CSB</w:t>
            </w:r>
          </w:p>
        </w:tc>
        <w:tc>
          <w:tcPr>
            <w:tcW w:w="490" w:type="pct"/>
            <w:noWrap/>
            <w:vAlign w:val="bottom"/>
            <w:hideMark/>
          </w:tcPr>
          <w:p w14:paraId="01E28CD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6B41808C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5139E11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113E389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ARLINGTON MENTAL HEALTH</w:t>
            </w:r>
          </w:p>
        </w:tc>
        <w:tc>
          <w:tcPr>
            <w:tcW w:w="490" w:type="pct"/>
            <w:noWrap/>
            <w:vAlign w:val="bottom"/>
            <w:hideMark/>
          </w:tcPr>
          <w:p w14:paraId="1B0DE17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15" w:type="pct"/>
            <w:noWrap/>
            <w:vAlign w:val="bottom"/>
            <w:hideMark/>
          </w:tcPr>
          <w:p w14:paraId="7E8F0EDB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</w:tr>
      <w:tr w:rsidR="00F91061" w:rsidRPr="00591D84" w14:paraId="1767BA7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347D212C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BLUE RIDGE CSB</w:t>
            </w:r>
          </w:p>
        </w:tc>
        <w:tc>
          <w:tcPr>
            <w:tcW w:w="490" w:type="pct"/>
            <w:noWrap/>
            <w:vAlign w:val="bottom"/>
            <w:hideMark/>
          </w:tcPr>
          <w:p w14:paraId="3F6E6B7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0A1D0C2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2CA08F5E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169249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CHESAPEAKE INTERGRATED BEHAV HEALTHCARE</w:t>
            </w:r>
          </w:p>
        </w:tc>
        <w:tc>
          <w:tcPr>
            <w:tcW w:w="490" w:type="pct"/>
            <w:noWrap/>
            <w:vAlign w:val="bottom"/>
            <w:hideMark/>
          </w:tcPr>
          <w:p w14:paraId="39ADD25B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15" w:type="pct"/>
            <w:noWrap/>
            <w:vAlign w:val="bottom"/>
            <w:hideMark/>
          </w:tcPr>
          <w:p w14:paraId="5C6BBF8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68831A8F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6A8C86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lastRenderedPageBreak/>
              <w:t>CHESTERFIELD CSB</w:t>
            </w:r>
          </w:p>
        </w:tc>
        <w:tc>
          <w:tcPr>
            <w:tcW w:w="490" w:type="pct"/>
            <w:noWrap/>
            <w:vAlign w:val="bottom"/>
            <w:hideMark/>
          </w:tcPr>
          <w:p w14:paraId="341C637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4021B75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</w:tr>
      <w:tr w:rsidR="00F91061" w:rsidRPr="00591D84" w14:paraId="109A1376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89EC24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COLONIAL BEHAVIORAL HEALTH</w:t>
            </w:r>
          </w:p>
        </w:tc>
        <w:tc>
          <w:tcPr>
            <w:tcW w:w="490" w:type="pct"/>
            <w:noWrap/>
            <w:vAlign w:val="bottom"/>
            <w:hideMark/>
          </w:tcPr>
          <w:p w14:paraId="4D8F1D7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06694C2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F91061" w:rsidRPr="00591D84" w14:paraId="6B362C5D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1E9535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CROSSROADS CSB</w:t>
            </w:r>
          </w:p>
        </w:tc>
        <w:tc>
          <w:tcPr>
            <w:tcW w:w="490" w:type="pct"/>
            <w:noWrap/>
            <w:vAlign w:val="bottom"/>
            <w:hideMark/>
          </w:tcPr>
          <w:p w14:paraId="6F2DD57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4C621E6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3C5D4E33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1850D3C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CUMBERLAND MNTL HLTH CTR</w:t>
            </w:r>
          </w:p>
        </w:tc>
        <w:tc>
          <w:tcPr>
            <w:tcW w:w="490" w:type="pct"/>
            <w:noWrap/>
            <w:vAlign w:val="bottom"/>
            <w:hideMark/>
          </w:tcPr>
          <w:p w14:paraId="6FD9A45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0B8304D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F91061" w:rsidRPr="00591D84" w14:paraId="2D611CBD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628DC6C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DANVILLE-PITTSYLVANIA COM SERV</w:t>
            </w:r>
          </w:p>
        </w:tc>
        <w:tc>
          <w:tcPr>
            <w:tcW w:w="490" w:type="pct"/>
            <w:noWrap/>
            <w:vAlign w:val="bottom"/>
            <w:hideMark/>
          </w:tcPr>
          <w:p w14:paraId="7410A33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3D52D27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5F06637F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1983BA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DICKENSON COUNTY BEHAVIORAL HEALTH SVCS</w:t>
            </w:r>
          </w:p>
        </w:tc>
        <w:tc>
          <w:tcPr>
            <w:tcW w:w="490" w:type="pct"/>
            <w:noWrap/>
            <w:vAlign w:val="bottom"/>
            <w:hideMark/>
          </w:tcPr>
          <w:p w14:paraId="483549F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15" w:type="pct"/>
            <w:noWrap/>
            <w:vAlign w:val="bottom"/>
            <w:hideMark/>
          </w:tcPr>
          <w:p w14:paraId="3F63497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91061" w:rsidRPr="00591D84" w14:paraId="524C97F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1323F65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DISTRICT 19 MEN HLTH SER</w:t>
            </w:r>
          </w:p>
        </w:tc>
        <w:tc>
          <w:tcPr>
            <w:tcW w:w="490" w:type="pct"/>
            <w:noWrap/>
            <w:vAlign w:val="bottom"/>
            <w:hideMark/>
          </w:tcPr>
          <w:p w14:paraId="65AE8DCB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7482A04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72D6E9C4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5F6ED17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Eastern Shore CSB</w:t>
            </w:r>
          </w:p>
        </w:tc>
        <w:tc>
          <w:tcPr>
            <w:tcW w:w="490" w:type="pct"/>
            <w:noWrap/>
            <w:vAlign w:val="bottom"/>
            <w:hideMark/>
          </w:tcPr>
          <w:p w14:paraId="3965DFC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446953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4A950BE5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39D30A6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Encompass Community Supports (Formerly RAPPAHANNOCK RAPIDAN CSB)</w:t>
            </w:r>
          </w:p>
        </w:tc>
        <w:tc>
          <w:tcPr>
            <w:tcW w:w="490" w:type="pct"/>
            <w:noWrap/>
            <w:vAlign w:val="bottom"/>
            <w:hideMark/>
          </w:tcPr>
          <w:p w14:paraId="7042D12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4E5FC1A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</w:tr>
      <w:tr w:rsidR="00F91061" w:rsidRPr="00591D84" w14:paraId="0FD81AAE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52F61D1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FAIRFAX-FALLS CHURCH CSB</w:t>
            </w:r>
          </w:p>
        </w:tc>
        <w:tc>
          <w:tcPr>
            <w:tcW w:w="490" w:type="pct"/>
            <w:noWrap/>
            <w:vAlign w:val="bottom"/>
            <w:hideMark/>
          </w:tcPr>
          <w:p w14:paraId="46C5FCF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3485E61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</w:tr>
      <w:tr w:rsidR="00F91061" w:rsidRPr="00591D84" w14:paraId="31851C3D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0844C6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GOOCHLAND POWHATAN MENTAL HLTH</w:t>
            </w:r>
          </w:p>
        </w:tc>
        <w:tc>
          <w:tcPr>
            <w:tcW w:w="490" w:type="pct"/>
            <w:noWrap/>
            <w:vAlign w:val="bottom"/>
            <w:hideMark/>
          </w:tcPr>
          <w:p w14:paraId="1E73879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5125C86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F91061" w:rsidRPr="00591D84" w14:paraId="4FC80D86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5A99125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HAMPTON-NN CSB</w:t>
            </w:r>
          </w:p>
        </w:tc>
        <w:tc>
          <w:tcPr>
            <w:tcW w:w="490" w:type="pct"/>
            <w:noWrap/>
            <w:vAlign w:val="bottom"/>
            <w:hideMark/>
          </w:tcPr>
          <w:p w14:paraId="3D60BC8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15" w:type="pct"/>
            <w:noWrap/>
            <w:vAlign w:val="bottom"/>
            <w:hideMark/>
          </w:tcPr>
          <w:p w14:paraId="432DD16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F91061" w:rsidRPr="00591D84" w14:paraId="651D2BB4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48BBC01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HARRISONBURG-ROCKINGHAM CSB</w:t>
            </w:r>
          </w:p>
        </w:tc>
        <w:tc>
          <w:tcPr>
            <w:tcW w:w="490" w:type="pct"/>
            <w:noWrap/>
            <w:vAlign w:val="bottom"/>
            <w:hideMark/>
          </w:tcPr>
          <w:p w14:paraId="65C5409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5B4AF17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F91061" w:rsidRPr="00591D84" w14:paraId="759C851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B22865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HENRICO AREA MENTAL HLTH &amp; DEVLPMNTL SVC</w:t>
            </w:r>
          </w:p>
        </w:tc>
        <w:tc>
          <w:tcPr>
            <w:tcW w:w="490" w:type="pct"/>
            <w:noWrap/>
            <w:vAlign w:val="bottom"/>
            <w:hideMark/>
          </w:tcPr>
          <w:p w14:paraId="6687707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74F1A6E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18333288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10AAC4C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HIGHLANDS CMNTY SVCS BOARD</w:t>
            </w:r>
          </w:p>
        </w:tc>
        <w:tc>
          <w:tcPr>
            <w:tcW w:w="490" w:type="pct"/>
            <w:noWrap/>
            <w:vAlign w:val="bottom"/>
            <w:hideMark/>
          </w:tcPr>
          <w:p w14:paraId="024B14A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563294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3964D620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F265C8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HORIZON BEHAVIORAL HEALTH</w:t>
            </w:r>
          </w:p>
        </w:tc>
        <w:tc>
          <w:tcPr>
            <w:tcW w:w="490" w:type="pct"/>
            <w:noWrap/>
            <w:vAlign w:val="bottom"/>
            <w:hideMark/>
          </w:tcPr>
          <w:p w14:paraId="7DB9828F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50D2932C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F91061" w:rsidRPr="00591D84" w14:paraId="6C2ACE8B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6C776CF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LOUDOUN COUNTY CSB</w:t>
            </w:r>
          </w:p>
        </w:tc>
        <w:tc>
          <w:tcPr>
            <w:tcW w:w="490" w:type="pct"/>
            <w:noWrap/>
            <w:vAlign w:val="bottom"/>
            <w:hideMark/>
          </w:tcPr>
          <w:p w14:paraId="3C9CAD7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61B8087F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</w:tr>
      <w:tr w:rsidR="00F91061" w:rsidRPr="00591D84" w14:paraId="55608533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4142A59B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MIDDLE PENINSULA NORTHERN NECK CSB</w:t>
            </w:r>
          </w:p>
        </w:tc>
        <w:tc>
          <w:tcPr>
            <w:tcW w:w="490" w:type="pct"/>
            <w:noWrap/>
            <w:vAlign w:val="bottom"/>
            <w:hideMark/>
          </w:tcPr>
          <w:p w14:paraId="34D7EF9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5B0E79B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F91061" w:rsidRPr="00591D84" w14:paraId="56831C58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2E2CAF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MOUNT ROGERS CSB</w:t>
            </w:r>
          </w:p>
        </w:tc>
        <w:tc>
          <w:tcPr>
            <w:tcW w:w="490" w:type="pct"/>
            <w:noWrap/>
            <w:vAlign w:val="bottom"/>
            <w:hideMark/>
          </w:tcPr>
          <w:p w14:paraId="0190827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FE95C3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6EB7E6B4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EE33F0F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NEW RIVER VALLEY COMMUNITY SERVICES</w:t>
            </w:r>
          </w:p>
        </w:tc>
        <w:tc>
          <w:tcPr>
            <w:tcW w:w="490" w:type="pct"/>
            <w:noWrap/>
            <w:vAlign w:val="bottom"/>
            <w:hideMark/>
          </w:tcPr>
          <w:p w14:paraId="6EF717EF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85E24D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05766F9F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01A73B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NORFOLK COMMUNITY SERVICES BOARD</w:t>
            </w:r>
          </w:p>
        </w:tc>
        <w:tc>
          <w:tcPr>
            <w:tcW w:w="490" w:type="pct"/>
            <w:noWrap/>
            <w:vAlign w:val="bottom"/>
            <w:hideMark/>
          </w:tcPr>
          <w:p w14:paraId="31D6E65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1C4E5DF0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F91061" w:rsidRPr="00591D84" w14:paraId="12E4B4B7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BA4D96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NORTHWESTERN COMMUNITY SVCS</w:t>
            </w:r>
          </w:p>
        </w:tc>
        <w:tc>
          <w:tcPr>
            <w:tcW w:w="490" w:type="pct"/>
            <w:noWrap/>
            <w:vAlign w:val="bottom"/>
            <w:hideMark/>
          </w:tcPr>
          <w:p w14:paraId="6E35894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6DF62F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04E707DE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6AF5842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PIEDMONT COMMUNITY SERVICES</w:t>
            </w:r>
          </w:p>
        </w:tc>
        <w:tc>
          <w:tcPr>
            <w:tcW w:w="490" w:type="pct"/>
            <w:noWrap/>
            <w:vAlign w:val="bottom"/>
            <w:hideMark/>
          </w:tcPr>
          <w:p w14:paraId="67DCBF4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1AA346F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F91061" w:rsidRPr="00591D84" w14:paraId="44E1E541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E258CB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PLANNING DISTRICT ONE CSB</w:t>
            </w:r>
          </w:p>
        </w:tc>
        <w:tc>
          <w:tcPr>
            <w:tcW w:w="490" w:type="pct"/>
            <w:noWrap/>
            <w:vAlign w:val="bottom"/>
            <w:hideMark/>
          </w:tcPr>
          <w:p w14:paraId="719423B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5B2C130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74F21C8E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924CAE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PORTSMOUTH DEPT OF BEHAVIORAL</w:t>
            </w:r>
          </w:p>
        </w:tc>
        <w:tc>
          <w:tcPr>
            <w:tcW w:w="490" w:type="pct"/>
            <w:noWrap/>
            <w:vAlign w:val="bottom"/>
            <w:hideMark/>
          </w:tcPr>
          <w:p w14:paraId="0389B78C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15" w:type="pct"/>
            <w:noWrap/>
            <w:vAlign w:val="bottom"/>
            <w:hideMark/>
          </w:tcPr>
          <w:p w14:paraId="55533A58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0ED5B589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73E649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PRINCE WILLIAM COUNTY CSB</w:t>
            </w:r>
          </w:p>
        </w:tc>
        <w:tc>
          <w:tcPr>
            <w:tcW w:w="490" w:type="pct"/>
            <w:noWrap/>
            <w:vAlign w:val="bottom"/>
            <w:hideMark/>
          </w:tcPr>
          <w:p w14:paraId="7FA5584E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15" w:type="pct"/>
            <w:noWrap/>
            <w:vAlign w:val="bottom"/>
            <w:hideMark/>
          </w:tcPr>
          <w:p w14:paraId="0539A0A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</w:tr>
      <w:tr w:rsidR="00F91061" w:rsidRPr="00591D84" w14:paraId="7E9E9252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37A2147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RAPPAHANNOCK AREA COMMUNITY SERVICES BRD</w:t>
            </w:r>
          </w:p>
        </w:tc>
        <w:tc>
          <w:tcPr>
            <w:tcW w:w="490" w:type="pct"/>
            <w:noWrap/>
            <w:vAlign w:val="bottom"/>
            <w:hideMark/>
          </w:tcPr>
          <w:p w14:paraId="5FF744C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15" w:type="pct"/>
            <w:noWrap/>
            <w:vAlign w:val="bottom"/>
            <w:hideMark/>
          </w:tcPr>
          <w:p w14:paraId="2C16B80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F91061" w:rsidRPr="00591D84" w14:paraId="2EE55185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4605352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lastRenderedPageBreak/>
              <w:t>REGION TEN CMMNTY SVCS BRD</w:t>
            </w:r>
          </w:p>
        </w:tc>
        <w:tc>
          <w:tcPr>
            <w:tcW w:w="490" w:type="pct"/>
            <w:noWrap/>
            <w:vAlign w:val="bottom"/>
            <w:hideMark/>
          </w:tcPr>
          <w:p w14:paraId="1E692A4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43870C0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0F5EDF3F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2E752127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RICHMOND BHVRL HLTH AUTHORITY</w:t>
            </w:r>
          </w:p>
        </w:tc>
        <w:tc>
          <w:tcPr>
            <w:tcW w:w="490" w:type="pct"/>
            <w:noWrap/>
            <w:vAlign w:val="bottom"/>
            <w:hideMark/>
          </w:tcPr>
          <w:p w14:paraId="5E8593BB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4581607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:rsidR="00F91061" w:rsidRPr="00591D84" w14:paraId="079B8739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45A72CD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ROCKBRIDGE AREA COMMUNITY SVS BOARD</w:t>
            </w:r>
          </w:p>
        </w:tc>
        <w:tc>
          <w:tcPr>
            <w:tcW w:w="490" w:type="pct"/>
            <w:noWrap/>
            <w:vAlign w:val="bottom"/>
            <w:hideMark/>
          </w:tcPr>
          <w:p w14:paraId="396FC30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0F994FEA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20C74A4B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49F468F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SOUTHSIDE CSB</w:t>
            </w:r>
          </w:p>
        </w:tc>
        <w:tc>
          <w:tcPr>
            <w:tcW w:w="490" w:type="pct"/>
            <w:noWrap/>
            <w:vAlign w:val="bottom"/>
            <w:hideMark/>
          </w:tcPr>
          <w:p w14:paraId="1D62C646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bottom"/>
            <w:hideMark/>
          </w:tcPr>
          <w:p w14:paraId="715D3BA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F91061" w:rsidRPr="00591D84" w14:paraId="3CF0EE44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1879EF3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VALLEY CSB</w:t>
            </w:r>
          </w:p>
        </w:tc>
        <w:tc>
          <w:tcPr>
            <w:tcW w:w="490" w:type="pct"/>
            <w:noWrap/>
            <w:vAlign w:val="bottom"/>
            <w:hideMark/>
          </w:tcPr>
          <w:p w14:paraId="18DA23BD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0399C39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F91061" w:rsidRPr="00591D84" w14:paraId="5CBA535D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01F176F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VIRGINIA BEACH CSB</w:t>
            </w:r>
          </w:p>
        </w:tc>
        <w:tc>
          <w:tcPr>
            <w:tcW w:w="490" w:type="pct"/>
            <w:noWrap/>
            <w:vAlign w:val="bottom"/>
            <w:hideMark/>
          </w:tcPr>
          <w:p w14:paraId="276D36B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15" w:type="pct"/>
            <w:noWrap/>
            <w:vAlign w:val="bottom"/>
            <w:hideMark/>
          </w:tcPr>
          <w:p w14:paraId="23D9270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</w:tr>
      <w:tr w:rsidR="00F91061" w:rsidRPr="00591D84" w14:paraId="7CF94DCD" w14:textId="77777777" w:rsidTr="00D5273A">
        <w:trPr>
          <w:trHeight w:val="288"/>
        </w:trPr>
        <w:tc>
          <w:tcPr>
            <w:tcW w:w="3994" w:type="pct"/>
            <w:noWrap/>
            <w:vAlign w:val="bottom"/>
            <w:hideMark/>
          </w:tcPr>
          <w:p w14:paraId="731CF63E" w14:textId="6A79BAD0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WESTERN TIDEWATER COMMUNITY SERVICES BOA</w:t>
            </w:r>
            <w:r w:rsidR="00975CEC">
              <w:rPr>
                <w:rFonts w:eastAsia="Times New Roman" w:cstheme="minorHAnsi"/>
                <w:sz w:val="20"/>
                <w:szCs w:val="20"/>
              </w:rPr>
              <w:t>RD</w:t>
            </w:r>
          </w:p>
        </w:tc>
        <w:tc>
          <w:tcPr>
            <w:tcW w:w="490" w:type="pct"/>
            <w:noWrap/>
            <w:vAlign w:val="bottom"/>
            <w:hideMark/>
          </w:tcPr>
          <w:p w14:paraId="391F9219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bottom"/>
            <w:hideMark/>
          </w:tcPr>
          <w:p w14:paraId="0B34A061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F91061" w:rsidRPr="00591D84" w14:paraId="5DD5B790" w14:textId="77777777" w:rsidTr="00975CEC">
        <w:trPr>
          <w:trHeight w:val="63"/>
        </w:trPr>
        <w:tc>
          <w:tcPr>
            <w:tcW w:w="3994" w:type="pct"/>
            <w:shd w:val="clear" w:color="auto" w:fill="D9D9D9" w:themeFill="background1" w:themeFillShade="D9"/>
            <w:noWrap/>
            <w:vAlign w:val="bottom"/>
          </w:tcPr>
          <w:p w14:paraId="032AA3E4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90" w:type="pct"/>
            <w:shd w:val="clear" w:color="auto" w:fill="D9D9D9" w:themeFill="background1" w:themeFillShade="D9"/>
            <w:noWrap/>
            <w:vAlign w:val="bottom"/>
          </w:tcPr>
          <w:p w14:paraId="15DE2365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bottom"/>
          </w:tcPr>
          <w:p w14:paraId="06008AB3" w14:textId="77777777" w:rsidR="00F91061" w:rsidRPr="00734306" w:rsidRDefault="00F91061" w:rsidP="00F91061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734306">
              <w:rPr>
                <w:rFonts w:eastAsia="Times New Roman" w:cstheme="minorHAnsi"/>
                <w:b/>
                <w:bCs/>
                <w:sz w:val="20"/>
                <w:szCs w:val="20"/>
              </w:rPr>
              <w:t>222</w:t>
            </w:r>
          </w:p>
        </w:tc>
      </w:tr>
    </w:tbl>
    <w:p w14:paraId="6AEFF48A" w14:textId="77777777" w:rsidR="00F91061" w:rsidRPr="00F91061" w:rsidRDefault="00F91061" w:rsidP="00F91061">
      <w:pPr>
        <w:rPr>
          <w:rFonts w:ascii="Times" w:eastAsia="Times New Roman" w:hAnsi="Times" w:cs="Times"/>
          <w:sz w:val="24"/>
          <w:szCs w:val="24"/>
        </w:rPr>
      </w:pPr>
    </w:p>
    <w:p w14:paraId="0E5C90F2" w14:textId="77777777" w:rsidR="00F91061" w:rsidRDefault="00F91061" w:rsidP="00692957">
      <w:pPr>
        <w:rPr>
          <w:rFonts w:ascii="Times New Roman" w:hAnsi="Times New Roman" w:cs="Times New Roman"/>
          <w:sz w:val="24"/>
          <w:szCs w:val="24"/>
        </w:rPr>
      </w:pPr>
    </w:p>
    <w:p w14:paraId="71D2B78D" w14:textId="69C58981" w:rsidR="00591D84" w:rsidRPr="00591D84" w:rsidRDefault="00591D84" w:rsidP="00692957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591D84">
        <w:rPr>
          <w:rFonts w:ascii="Times New Roman" w:hAnsi="Times New Roman" w:cs="Times New Roman"/>
          <w:b/>
          <w:bCs/>
          <w:sz w:val="30"/>
          <w:szCs w:val="30"/>
        </w:rPr>
        <w:t>Conclusion</w:t>
      </w:r>
    </w:p>
    <w:p w14:paraId="2C1D36D9" w14:textId="5FB49357" w:rsidR="00BE291B" w:rsidRDefault="00591D84" w:rsidP="00BE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r w:rsidR="00B17C57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proofErr w:type="gramEnd"/>
      <w:r w:rsidR="00B17C57">
        <w:rPr>
          <w:rFonts w:ascii="Times New Roman" w:eastAsia="Times New Roman" w:hAnsi="Times New Roman" w:cs="Times New Roman"/>
          <w:sz w:val="24"/>
          <w:szCs w:val="24"/>
        </w:rPr>
        <w:t xml:space="preserve"> the presently available 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17C57">
        <w:rPr>
          <w:rFonts w:ascii="Times New Roman" w:eastAsia="Times New Roman" w:hAnsi="Times New Roman" w:cs="Times New Roman"/>
          <w:sz w:val="24"/>
          <w:szCs w:val="24"/>
        </w:rPr>
        <w:t xml:space="preserve">24 slots have been allocated to </w:t>
      </w:r>
      <w:r w:rsidR="00224099">
        <w:rPr>
          <w:rFonts w:ascii="Times New Roman" w:eastAsia="Times New Roman" w:hAnsi="Times New Roman" w:cs="Times New Roman"/>
          <w:sz w:val="24"/>
          <w:szCs w:val="24"/>
        </w:rPr>
        <w:t xml:space="preserve">CSBs according to the formula outlined in the Commonwealth’s waiver applications. </w:t>
      </w:r>
      <w:r w:rsidR="00F12663">
        <w:rPr>
          <w:rFonts w:ascii="Times New Roman" w:eastAsia="Times New Roman" w:hAnsi="Times New Roman" w:cs="Times New Roman"/>
          <w:sz w:val="24"/>
          <w:szCs w:val="24"/>
        </w:rPr>
        <w:t xml:space="preserve">All but two of those slots </w:t>
      </w:r>
      <w:r w:rsidR="00224099">
        <w:rPr>
          <w:rFonts w:ascii="Times New Roman" w:eastAsia="Times New Roman" w:hAnsi="Times New Roman" w:cs="Times New Roman"/>
          <w:sz w:val="24"/>
          <w:szCs w:val="24"/>
        </w:rPr>
        <w:t xml:space="preserve">have been assigned to individuals through </w:t>
      </w:r>
      <w:r w:rsidR="00896286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="00224099">
        <w:rPr>
          <w:rFonts w:ascii="Times New Roman" w:eastAsia="Times New Roman" w:hAnsi="Times New Roman" w:cs="Times New Roman"/>
          <w:sz w:val="24"/>
          <w:szCs w:val="24"/>
        </w:rPr>
        <w:t xml:space="preserve">the local </w:t>
      </w:r>
      <w:r w:rsidR="00896286">
        <w:rPr>
          <w:rFonts w:ascii="Times New Roman" w:eastAsia="Times New Roman" w:hAnsi="Times New Roman" w:cs="Times New Roman"/>
          <w:sz w:val="24"/>
          <w:szCs w:val="24"/>
        </w:rPr>
        <w:t xml:space="preserve">or regional </w:t>
      </w:r>
      <w:r w:rsidR="00224099">
        <w:rPr>
          <w:rFonts w:ascii="Times New Roman" w:eastAsia="Times New Roman" w:hAnsi="Times New Roman" w:cs="Times New Roman"/>
          <w:sz w:val="24"/>
          <w:szCs w:val="24"/>
        </w:rPr>
        <w:t xml:space="preserve">WSAC process.  DD waiver services </w:t>
      </w:r>
      <w:r w:rsidR="007F19EE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224099">
        <w:rPr>
          <w:rFonts w:ascii="Times New Roman" w:eastAsia="Times New Roman" w:hAnsi="Times New Roman" w:cs="Times New Roman"/>
          <w:sz w:val="24"/>
          <w:szCs w:val="24"/>
        </w:rPr>
        <w:t xml:space="preserve"> authorized for </w:t>
      </w:r>
      <w:r w:rsidR="00896286">
        <w:rPr>
          <w:rFonts w:ascii="Times New Roman" w:eastAsia="Times New Roman" w:hAnsi="Times New Roman" w:cs="Times New Roman"/>
          <w:sz w:val="24"/>
          <w:szCs w:val="24"/>
        </w:rPr>
        <w:t xml:space="preserve">43 percent </w:t>
      </w:r>
      <w:r w:rsidR="009500D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9628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52442">
        <w:rPr>
          <w:rFonts w:ascii="Times New Roman" w:eastAsia="Times New Roman" w:hAnsi="Times New Roman" w:cs="Times New Roman"/>
          <w:sz w:val="24"/>
          <w:szCs w:val="24"/>
        </w:rPr>
        <w:t>new slot recipients</w:t>
      </w:r>
      <w:r w:rsidR="00812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286">
        <w:rPr>
          <w:rFonts w:ascii="Times New Roman" w:eastAsia="Times New Roman" w:hAnsi="Times New Roman" w:cs="Times New Roman"/>
          <w:sz w:val="24"/>
          <w:szCs w:val="24"/>
        </w:rPr>
        <w:t>by the end of the second quarter</w:t>
      </w:r>
      <w:r w:rsidR="00B32187">
        <w:rPr>
          <w:rFonts w:ascii="Times New Roman" w:eastAsia="Times New Roman" w:hAnsi="Times New Roman" w:cs="Times New Roman"/>
          <w:sz w:val="24"/>
          <w:szCs w:val="24"/>
        </w:rPr>
        <w:t xml:space="preserve">.  DBHDS anticipates that that </w:t>
      </w:r>
      <w:r w:rsidR="0081205E">
        <w:rPr>
          <w:rFonts w:ascii="Times New Roman" w:eastAsia="Times New Roman" w:hAnsi="Times New Roman" w:cs="Times New Roman"/>
          <w:sz w:val="24"/>
          <w:szCs w:val="24"/>
        </w:rPr>
        <w:t>number will grow as the fiscal year progresses.</w:t>
      </w:r>
    </w:p>
    <w:p w14:paraId="018EF384" w14:textId="77777777" w:rsidR="009C16AA" w:rsidRDefault="009C16AA" w:rsidP="00BE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DF613" w14:textId="77777777" w:rsidR="00BE291B" w:rsidRPr="009351B4" w:rsidRDefault="00BE291B" w:rsidP="00BE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2AE14" w14:textId="77777777" w:rsidR="008D6706" w:rsidRPr="004C7666" w:rsidRDefault="008D6706" w:rsidP="00FD5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54021" w14:textId="60BFA92B" w:rsidR="008B0BDA" w:rsidRPr="004C7666" w:rsidRDefault="008B0BDA" w:rsidP="004C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B0BDA" w:rsidRPr="004C7666" w:rsidSect="00DC517C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D6C4" w14:textId="77777777" w:rsidR="00DC517C" w:rsidRDefault="00DC517C" w:rsidP="00951460">
      <w:pPr>
        <w:spacing w:after="0" w:line="240" w:lineRule="auto"/>
      </w:pPr>
      <w:r>
        <w:separator/>
      </w:r>
    </w:p>
  </w:endnote>
  <w:endnote w:type="continuationSeparator" w:id="0">
    <w:p w14:paraId="78E87C4B" w14:textId="77777777" w:rsidR="00DC517C" w:rsidRDefault="00DC517C" w:rsidP="0095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5A96" w14:textId="77777777" w:rsidR="00D72B7E" w:rsidRDefault="00D72B7E" w:rsidP="000B23D9">
    <w:pPr>
      <w:ind w:left="2160" w:firstLine="720"/>
    </w:pPr>
    <w:r>
      <w:t xml:space="preserve">                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9D23" w14:textId="77777777" w:rsidR="00DC517C" w:rsidRDefault="00DC517C" w:rsidP="00951460">
      <w:pPr>
        <w:spacing w:after="0" w:line="240" w:lineRule="auto"/>
      </w:pPr>
      <w:r>
        <w:separator/>
      </w:r>
    </w:p>
  </w:footnote>
  <w:footnote w:type="continuationSeparator" w:id="0">
    <w:p w14:paraId="792E6B52" w14:textId="77777777" w:rsidR="00DC517C" w:rsidRDefault="00DC517C" w:rsidP="0095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134A"/>
    <w:multiLevelType w:val="hybridMultilevel"/>
    <w:tmpl w:val="5432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7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C6"/>
    <w:rsid w:val="00004E87"/>
    <w:rsid w:val="000429DB"/>
    <w:rsid w:val="00053F3D"/>
    <w:rsid w:val="00061AE5"/>
    <w:rsid w:val="000804AF"/>
    <w:rsid w:val="000E06A0"/>
    <w:rsid w:val="000F67D8"/>
    <w:rsid w:val="00100670"/>
    <w:rsid w:val="00120E43"/>
    <w:rsid w:val="00136796"/>
    <w:rsid w:val="001459BA"/>
    <w:rsid w:val="00161EAB"/>
    <w:rsid w:val="001810E2"/>
    <w:rsid w:val="001A5D50"/>
    <w:rsid w:val="001B2EF3"/>
    <w:rsid w:val="001E6927"/>
    <w:rsid w:val="0022006B"/>
    <w:rsid w:val="002214B4"/>
    <w:rsid w:val="00224099"/>
    <w:rsid w:val="00227599"/>
    <w:rsid w:val="00234748"/>
    <w:rsid w:val="00236E6B"/>
    <w:rsid w:val="00237FC7"/>
    <w:rsid w:val="002419E8"/>
    <w:rsid w:val="00241C6A"/>
    <w:rsid w:val="002461A2"/>
    <w:rsid w:val="00250767"/>
    <w:rsid w:val="00281EFA"/>
    <w:rsid w:val="00292DAE"/>
    <w:rsid w:val="002A17B0"/>
    <w:rsid w:val="002A2620"/>
    <w:rsid w:val="002A29A8"/>
    <w:rsid w:val="002B6306"/>
    <w:rsid w:val="002F73C4"/>
    <w:rsid w:val="00306362"/>
    <w:rsid w:val="003215EF"/>
    <w:rsid w:val="00323F70"/>
    <w:rsid w:val="00334B26"/>
    <w:rsid w:val="00340641"/>
    <w:rsid w:val="00343FAC"/>
    <w:rsid w:val="00344D2F"/>
    <w:rsid w:val="00350FDF"/>
    <w:rsid w:val="00357D5C"/>
    <w:rsid w:val="00366227"/>
    <w:rsid w:val="00370883"/>
    <w:rsid w:val="00374AA7"/>
    <w:rsid w:val="003835C3"/>
    <w:rsid w:val="003B7B66"/>
    <w:rsid w:val="003C6D87"/>
    <w:rsid w:val="003D191C"/>
    <w:rsid w:val="003E1613"/>
    <w:rsid w:val="003E5E55"/>
    <w:rsid w:val="003F74B4"/>
    <w:rsid w:val="0044646B"/>
    <w:rsid w:val="00451746"/>
    <w:rsid w:val="004640A0"/>
    <w:rsid w:val="004641DD"/>
    <w:rsid w:val="004716CD"/>
    <w:rsid w:val="00482785"/>
    <w:rsid w:val="004957F5"/>
    <w:rsid w:val="004A07F8"/>
    <w:rsid w:val="004A305C"/>
    <w:rsid w:val="004B0497"/>
    <w:rsid w:val="004B5545"/>
    <w:rsid w:val="004C7666"/>
    <w:rsid w:val="004C788E"/>
    <w:rsid w:val="004D110B"/>
    <w:rsid w:val="004D269E"/>
    <w:rsid w:val="004D2713"/>
    <w:rsid w:val="004D5F2C"/>
    <w:rsid w:val="004F4141"/>
    <w:rsid w:val="005124E0"/>
    <w:rsid w:val="00513249"/>
    <w:rsid w:val="00533B37"/>
    <w:rsid w:val="0054486C"/>
    <w:rsid w:val="005531CF"/>
    <w:rsid w:val="00585DB1"/>
    <w:rsid w:val="00591D84"/>
    <w:rsid w:val="00597750"/>
    <w:rsid w:val="00597780"/>
    <w:rsid w:val="005A0D89"/>
    <w:rsid w:val="005A522F"/>
    <w:rsid w:val="005D0ECA"/>
    <w:rsid w:val="005D5D87"/>
    <w:rsid w:val="005E0100"/>
    <w:rsid w:val="00601604"/>
    <w:rsid w:val="00604A8A"/>
    <w:rsid w:val="00610522"/>
    <w:rsid w:val="00635204"/>
    <w:rsid w:val="00637FBA"/>
    <w:rsid w:val="00642F33"/>
    <w:rsid w:val="00677F1F"/>
    <w:rsid w:val="006919F4"/>
    <w:rsid w:val="00692957"/>
    <w:rsid w:val="006A2F72"/>
    <w:rsid w:val="006A793D"/>
    <w:rsid w:val="006B31DB"/>
    <w:rsid w:val="006C2591"/>
    <w:rsid w:val="006C33C6"/>
    <w:rsid w:val="006C6CAB"/>
    <w:rsid w:val="006D0BCB"/>
    <w:rsid w:val="006D38D2"/>
    <w:rsid w:val="006E7E9D"/>
    <w:rsid w:val="006F0CC7"/>
    <w:rsid w:val="006F3B53"/>
    <w:rsid w:val="0072247A"/>
    <w:rsid w:val="00734306"/>
    <w:rsid w:val="00734C98"/>
    <w:rsid w:val="007469E7"/>
    <w:rsid w:val="00753AB0"/>
    <w:rsid w:val="00795573"/>
    <w:rsid w:val="00796BFB"/>
    <w:rsid w:val="007D0AF4"/>
    <w:rsid w:val="007E2467"/>
    <w:rsid w:val="007F19EE"/>
    <w:rsid w:val="007F29CE"/>
    <w:rsid w:val="007F4FB1"/>
    <w:rsid w:val="00805F73"/>
    <w:rsid w:val="0081205E"/>
    <w:rsid w:val="00841583"/>
    <w:rsid w:val="00843CE7"/>
    <w:rsid w:val="00850078"/>
    <w:rsid w:val="00861A14"/>
    <w:rsid w:val="00865143"/>
    <w:rsid w:val="00866746"/>
    <w:rsid w:val="008930C6"/>
    <w:rsid w:val="00896286"/>
    <w:rsid w:val="008A3F35"/>
    <w:rsid w:val="008B0BDA"/>
    <w:rsid w:val="008C2337"/>
    <w:rsid w:val="008D6706"/>
    <w:rsid w:val="008D6DE5"/>
    <w:rsid w:val="008E4E5D"/>
    <w:rsid w:val="008F1859"/>
    <w:rsid w:val="008F3BAA"/>
    <w:rsid w:val="008F528E"/>
    <w:rsid w:val="00914209"/>
    <w:rsid w:val="00924216"/>
    <w:rsid w:val="0092456A"/>
    <w:rsid w:val="009344F3"/>
    <w:rsid w:val="009367D5"/>
    <w:rsid w:val="009500D8"/>
    <w:rsid w:val="00951460"/>
    <w:rsid w:val="00952760"/>
    <w:rsid w:val="009567C8"/>
    <w:rsid w:val="00975CEC"/>
    <w:rsid w:val="00980046"/>
    <w:rsid w:val="00981C1B"/>
    <w:rsid w:val="00990D69"/>
    <w:rsid w:val="009A0CE8"/>
    <w:rsid w:val="009A6D5D"/>
    <w:rsid w:val="009B514A"/>
    <w:rsid w:val="009C16AA"/>
    <w:rsid w:val="009D599D"/>
    <w:rsid w:val="009E451D"/>
    <w:rsid w:val="009E4BF3"/>
    <w:rsid w:val="009E7BF3"/>
    <w:rsid w:val="009F06D1"/>
    <w:rsid w:val="009F75A0"/>
    <w:rsid w:val="00A01A6F"/>
    <w:rsid w:val="00A10857"/>
    <w:rsid w:val="00A3501B"/>
    <w:rsid w:val="00A55636"/>
    <w:rsid w:val="00A8435E"/>
    <w:rsid w:val="00AC149A"/>
    <w:rsid w:val="00AC20D8"/>
    <w:rsid w:val="00AD066A"/>
    <w:rsid w:val="00AD15F3"/>
    <w:rsid w:val="00AD2EE9"/>
    <w:rsid w:val="00AD6306"/>
    <w:rsid w:val="00AE526C"/>
    <w:rsid w:val="00AE6722"/>
    <w:rsid w:val="00B060D7"/>
    <w:rsid w:val="00B17C57"/>
    <w:rsid w:val="00B31B14"/>
    <w:rsid w:val="00B32187"/>
    <w:rsid w:val="00B3482F"/>
    <w:rsid w:val="00B41627"/>
    <w:rsid w:val="00B5669E"/>
    <w:rsid w:val="00B600A6"/>
    <w:rsid w:val="00B624AA"/>
    <w:rsid w:val="00B75E17"/>
    <w:rsid w:val="00B82B50"/>
    <w:rsid w:val="00B83FC5"/>
    <w:rsid w:val="00B87029"/>
    <w:rsid w:val="00BA1C41"/>
    <w:rsid w:val="00BA306F"/>
    <w:rsid w:val="00BA42B3"/>
    <w:rsid w:val="00BB0304"/>
    <w:rsid w:val="00BC5CB9"/>
    <w:rsid w:val="00BE291B"/>
    <w:rsid w:val="00BF0BAE"/>
    <w:rsid w:val="00BF1471"/>
    <w:rsid w:val="00BF47AF"/>
    <w:rsid w:val="00C02868"/>
    <w:rsid w:val="00C15E1E"/>
    <w:rsid w:val="00C21586"/>
    <w:rsid w:val="00C3050C"/>
    <w:rsid w:val="00C3110A"/>
    <w:rsid w:val="00C47A4E"/>
    <w:rsid w:val="00C51B44"/>
    <w:rsid w:val="00C52442"/>
    <w:rsid w:val="00C579D7"/>
    <w:rsid w:val="00C61AFF"/>
    <w:rsid w:val="00C64983"/>
    <w:rsid w:val="00C735CF"/>
    <w:rsid w:val="00CA2CBE"/>
    <w:rsid w:val="00CB5C89"/>
    <w:rsid w:val="00CB6B86"/>
    <w:rsid w:val="00CC0137"/>
    <w:rsid w:val="00CC0507"/>
    <w:rsid w:val="00CD0B99"/>
    <w:rsid w:val="00CD5658"/>
    <w:rsid w:val="00CE347A"/>
    <w:rsid w:val="00CE42D3"/>
    <w:rsid w:val="00CE6A83"/>
    <w:rsid w:val="00D203E6"/>
    <w:rsid w:val="00D24964"/>
    <w:rsid w:val="00D579C9"/>
    <w:rsid w:val="00D60FC6"/>
    <w:rsid w:val="00D66E19"/>
    <w:rsid w:val="00D676B8"/>
    <w:rsid w:val="00D72B7E"/>
    <w:rsid w:val="00D739FD"/>
    <w:rsid w:val="00D91446"/>
    <w:rsid w:val="00D91949"/>
    <w:rsid w:val="00DA0D97"/>
    <w:rsid w:val="00DC517C"/>
    <w:rsid w:val="00DD7B62"/>
    <w:rsid w:val="00DE21B6"/>
    <w:rsid w:val="00DF53FC"/>
    <w:rsid w:val="00E13D72"/>
    <w:rsid w:val="00E33EB1"/>
    <w:rsid w:val="00E40707"/>
    <w:rsid w:val="00E40BC3"/>
    <w:rsid w:val="00E64548"/>
    <w:rsid w:val="00E7282F"/>
    <w:rsid w:val="00E741F1"/>
    <w:rsid w:val="00E830B0"/>
    <w:rsid w:val="00E8614C"/>
    <w:rsid w:val="00E97EBE"/>
    <w:rsid w:val="00EA65EA"/>
    <w:rsid w:val="00EB4E62"/>
    <w:rsid w:val="00EC1209"/>
    <w:rsid w:val="00F02A2D"/>
    <w:rsid w:val="00F10F06"/>
    <w:rsid w:val="00F11524"/>
    <w:rsid w:val="00F12663"/>
    <w:rsid w:val="00F200AD"/>
    <w:rsid w:val="00F35974"/>
    <w:rsid w:val="00F626AA"/>
    <w:rsid w:val="00F63D59"/>
    <w:rsid w:val="00F64EC9"/>
    <w:rsid w:val="00F67A74"/>
    <w:rsid w:val="00F70733"/>
    <w:rsid w:val="00F76094"/>
    <w:rsid w:val="00F81511"/>
    <w:rsid w:val="00F84A22"/>
    <w:rsid w:val="00F90A46"/>
    <w:rsid w:val="00F91061"/>
    <w:rsid w:val="00F93510"/>
    <w:rsid w:val="00FA7D0D"/>
    <w:rsid w:val="00FD22F6"/>
    <w:rsid w:val="00FD5054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F72F"/>
  <w15:docId w15:val="{643F2DCA-45C0-4F93-8660-16CAAD6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0FC6"/>
    <w:pPr>
      <w:widowControl w:val="0"/>
      <w:spacing w:after="0" w:line="0" w:lineRule="atLeast"/>
      <w:jc w:val="center"/>
    </w:pPr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D60FC6"/>
    <w:rPr>
      <w:rFonts w:ascii="CG Times (W1)" w:eastAsia="Times New Roman" w:hAnsi="CG Times (W1)" w:cs="Times New Roman"/>
      <w:b/>
      <w:bCs/>
      <w:i/>
      <w:color w:val="000080"/>
      <w:sz w:val="40"/>
      <w:szCs w:val="20"/>
    </w:rPr>
  </w:style>
  <w:style w:type="paragraph" w:styleId="NoSpacing">
    <w:name w:val="No Spacing"/>
    <w:uiPriority w:val="1"/>
    <w:qFormat/>
    <w:rsid w:val="00D739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91B"/>
    <w:pPr>
      <w:spacing w:after="250" w:line="249" w:lineRule="auto"/>
      <w:ind w:left="720" w:hanging="10"/>
      <w:contextualSpacing/>
    </w:pPr>
    <w:rPr>
      <w:rFonts w:ascii="Arial" w:eastAsia="Arial" w:hAnsi="Arial" w:cs="Arial"/>
      <w:color w:val="333333"/>
      <w:sz w:val="19"/>
    </w:rPr>
  </w:style>
  <w:style w:type="paragraph" w:styleId="Header">
    <w:name w:val="header"/>
    <w:basedOn w:val="Normal"/>
    <w:link w:val="HeaderChar"/>
    <w:uiPriority w:val="99"/>
    <w:unhideWhenUsed/>
    <w:rsid w:val="00951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60"/>
  </w:style>
  <w:style w:type="paragraph" w:styleId="Footer">
    <w:name w:val="footer"/>
    <w:basedOn w:val="Normal"/>
    <w:link w:val="FooterChar"/>
    <w:uiPriority w:val="99"/>
    <w:unhideWhenUsed/>
    <w:rsid w:val="00951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60"/>
  </w:style>
  <w:style w:type="paragraph" w:customStyle="1" w:styleId="Default">
    <w:name w:val="Default"/>
    <w:rsid w:val="00374A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7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6B8"/>
    <w:rPr>
      <w:b/>
      <w:bCs/>
      <w:sz w:val="20"/>
      <w:szCs w:val="20"/>
    </w:rPr>
  </w:style>
  <w:style w:type="paragraph" w:customStyle="1" w:styleId="paragraph">
    <w:name w:val="paragraph"/>
    <w:basedOn w:val="Normal"/>
    <w:rsid w:val="007D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0AF4"/>
  </w:style>
  <w:style w:type="character" w:customStyle="1" w:styleId="eop">
    <w:name w:val="eop"/>
    <w:basedOn w:val="DefaultParagraphFont"/>
    <w:rsid w:val="007D0AF4"/>
  </w:style>
  <w:style w:type="character" w:customStyle="1" w:styleId="advancedproofingissue">
    <w:name w:val="advancedproofingissue"/>
    <w:basedOn w:val="DefaultParagraphFont"/>
    <w:rsid w:val="007D0AF4"/>
  </w:style>
  <w:style w:type="character" w:customStyle="1" w:styleId="spellingerror">
    <w:name w:val="spellingerror"/>
    <w:basedOn w:val="DefaultParagraphFont"/>
    <w:rsid w:val="00BB0304"/>
  </w:style>
  <w:style w:type="character" w:customStyle="1" w:styleId="contextualspellingandgrammarerror">
    <w:name w:val="contextualspellingandgrammarerror"/>
    <w:basedOn w:val="DefaultParagraphFont"/>
    <w:rsid w:val="00BB0304"/>
  </w:style>
  <w:style w:type="table" w:styleId="TableGrid">
    <w:name w:val="Table Grid"/>
    <w:basedOn w:val="TableNormal"/>
    <w:uiPriority w:val="39"/>
    <w:rsid w:val="00CE6A8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56be0-c294-43de-afe1-0aa1eca57840">
      <Terms xmlns="http://schemas.microsoft.com/office/infopath/2007/PartnerControls"/>
    </lcf76f155ced4ddcb4097134ff3c332f>
    <Package xmlns="ce556be0-c294-43de-afe1-0aa1eca57840" xsi:nil="true"/>
    <TaxCatchAll xmlns="93a2e542-a916-4ab4-932f-f5e77b6555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73F1237D914497DFA1E8D85B5035" ma:contentTypeVersion="16" ma:contentTypeDescription="Create a new document." ma:contentTypeScope="" ma:versionID="c49ffe4892b467378047f11b23e2ac5d">
  <xsd:schema xmlns:xsd="http://www.w3.org/2001/XMLSchema" xmlns:xs="http://www.w3.org/2001/XMLSchema" xmlns:p="http://schemas.microsoft.com/office/2006/metadata/properties" xmlns:ns2="ce556be0-c294-43de-afe1-0aa1eca57840" xmlns:ns3="93a2e542-a916-4ab4-932f-f5e77b65553e" targetNamespace="http://schemas.microsoft.com/office/2006/metadata/properties" ma:root="true" ma:fieldsID="c3fc2cfcc766c706cb0797e439d26090" ns2:_="" ns3:_="">
    <xsd:import namespace="ce556be0-c294-43de-afe1-0aa1eca57840"/>
    <xsd:import namespace="93a2e542-a916-4ab4-932f-f5e77b65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Packag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be0-c294-43de-afe1-0aa1eca57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ackage" ma:index="19" nillable="true" ma:displayName="Package" ma:format="Dropdown" ma:internalName="Packag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e542-a916-4ab4-932f-f5e77b65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b3f36e-0086-4b7a-bf29-ecb42e6c1c60}" ma:internalName="TaxCatchAll" ma:showField="CatchAllData" ma:web="93a2e542-a916-4ab4-932f-f5e77b655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4523C-73D6-4630-A775-106784274DA2}">
  <ds:schemaRefs>
    <ds:schemaRef ds:uri="http://schemas.microsoft.com/office/2006/metadata/properties"/>
    <ds:schemaRef ds:uri="http://schemas.microsoft.com/office/infopath/2007/PartnerControls"/>
    <ds:schemaRef ds:uri="ce556be0-c294-43de-afe1-0aa1eca57840"/>
    <ds:schemaRef ds:uri="93a2e542-a916-4ab4-932f-f5e77b65553e"/>
  </ds:schemaRefs>
</ds:datastoreItem>
</file>

<file path=customXml/itemProps2.xml><?xml version="1.0" encoding="utf-8"?>
<ds:datastoreItem xmlns:ds="http://schemas.openxmlformats.org/officeDocument/2006/customXml" ds:itemID="{B0C87916-FF48-4AB2-814D-AFE06BBAB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681DC-2ED8-40BA-A21A-F4F0A04BF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6be0-c294-43de-afe1-0aa1eca57840"/>
    <ds:schemaRef ds:uri="93a2e542-a916-4ab4-932f-f5e77b65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E2549-5F4A-4F96-B361-64B024098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wtg77908</dc:creator>
  <cp:lastModifiedBy>Traver, Dawn (DBHDS)</cp:lastModifiedBy>
  <cp:revision>2</cp:revision>
  <dcterms:created xsi:type="dcterms:W3CDTF">2024-03-26T15:16:00Z</dcterms:created>
  <dcterms:modified xsi:type="dcterms:W3CDTF">2024-03-26T15:16:00Z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0x01010044A873F1237D914497DFA1E8D85B5035</vt:lpwstr>
  </property>
  <property fmtid="{D5CDD505-2E9C-101B-9397-08002B2CF9AE}" pid="3" name="MediaServiceImageTags">
    <vt:lpwstr/>
  </property>
</Properties>
</file>